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B2DE" w14:textId="7154628F" w:rsidR="008430DB" w:rsidRPr="007A0E29" w:rsidRDefault="008430DB" w:rsidP="008430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O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MÂNIA</w:t>
      </w:r>
    </w:p>
    <w:p w14:paraId="7305AE7C" w14:textId="77777777" w:rsidR="008430DB" w:rsidRPr="007A0E29" w:rsidRDefault="008430DB" w:rsidP="00843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JUDEŢUL TIMIŞ</w:t>
      </w:r>
    </w:p>
    <w:p w14:paraId="1C657969" w14:textId="00E27FD1" w:rsidR="008430DB" w:rsidRDefault="008430DB" w:rsidP="0084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CONSILIUL LOCAL AL MUNICIPIULUI LUGO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J</w:t>
      </w:r>
    </w:p>
    <w:p w14:paraId="79D70096" w14:textId="77777777" w:rsidR="00861803" w:rsidRDefault="00861803" w:rsidP="0084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7DF4638F" w14:textId="77777777" w:rsidR="00DB036A" w:rsidRDefault="00DB036A" w:rsidP="0084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2E14A1B9" w14:textId="77777777" w:rsidR="008430DB" w:rsidRPr="008430DB" w:rsidRDefault="008430DB" w:rsidP="00843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09FEE233" w14:textId="77777777" w:rsidR="008430DB" w:rsidRDefault="008430DB" w:rsidP="0084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8430D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521113FF" w14:textId="74EEA4E4" w:rsidR="00DB036A" w:rsidRPr="00DB036A" w:rsidRDefault="00DB036A" w:rsidP="00874642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</w:pPr>
      <w:bookmarkStart w:id="0" w:name="_Hlk90455526"/>
      <w:r w:rsidRPr="00DB03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>privind mandatarea Primarului Municipiului Lugoj să achiziționeze  servicii juridice de consultanță, de asistență și reprezentare, în vederea susținerii intereselor Primăriei Municipiului Lugoj-autoritate contractantă,  în contestația împotriva Deciziei Consiliului Național de Soluționare a Contestațiilor nr.655/C5/498 din 15.03.2024</w:t>
      </w:r>
    </w:p>
    <w:bookmarkEnd w:id="0"/>
    <w:p w14:paraId="7438F91F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pt-PT" w:eastAsia="zh-CN" w:bidi="hi-IN"/>
          <w14:ligatures w14:val="none"/>
        </w:rPr>
      </w:pPr>
    </w:p>
    <w:p w14:paraId="6A0263DA" w14:textId="1A92F02B" w:rsidR="00DB036A" w:rsidRPr="00DB036A" w:rsidRDefault="006B0400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="00DB036A"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Lugoj;</w:t>
      </w:r>
    </w:p>
    <w:p w14:paraId="78BD8626" w14:textId="77777777" w:rsidR="00DB036A" w:rsidRPr="00DA6F7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  <w:t>Având în vedere Referatul nr. 16/30963/(RU)30964 din 27.03.2024 al Primarului interimar al Municipiului Lugoj – inițiator al proiectului de hotărâre;</w:t>
      </w:r>
    </w:p>
    <w:p w14:paraId="0D1471FB" w14:textId="499136FF" w:rsidR="00861803" w:rsidRPr="00DA6F7A" w:rsidRDefault="00861803" w:rsidP="00861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u w:val="single"/>
          <w:lang w:val="ro-RO" w:eastAsia="ro-RO"/>
          <w14:ligatures w14:val="none"/>
        </w:rPr>
      </w:pPr>
      <w:r w:rsidRPr="00861803">
        <w:rPr>
          <w:rFonts w:ascii="Times New Roman" w:eastAsia="SimSun" w:hAnsi="Times New Roman" w:cs="Arial"/>
          <w:color w:val="FF0000"/>
          <w:kern w:val="3"/>
          <w:sz w:val="24"/>
          <w:szCs w:val="24"/>
          <w:lang w:val="ro-RO" w:eastAsia="zh-CN" w:bidi="hi-IN"/>
          <w14:ligatures w14:val="none"/>
        </w:rPr>
        <w:tab/>
      </w:r>
      <w:r w:rsidRPr="00691CA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Proiectul de hotărâre nr. 6</w:t>
      </w:r>
      <w:r w:rsidR="00DA6F7A" w:rsidRPr="00691CA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691CA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2</w:t>
      </w:r>
      <w:r w:rsidR="00DA6F7A" w:rsidRPr="00691CA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7</w:t>
      </w:r>
      <w:r w:rsidRPr="00691CA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.03.2024 </w:t>
      </w:r>
      <w:r w:rsidRPr="00691CA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</w:t>
      </w:r>
      <w:r w:rsidR="00DA6F7A" w:rsidRPr="00691CA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="00DA6F7A" w:rsidRPr="00DA6F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>mandatarea Primarului Municipiului Lugoj să achiziționeze  servicii juridice de consultanță, de asistență și reprezentare, în vederea susținerii intereselor Primăriei Municipiului Lugoj-autoritate contractantă,  în contestația împotriva Deciziei Consiliului Național de Soluționare a Contestațiilor nr.655/C5/498 din 15.03.2024</w:t>
      </w:r>
      <w:r w:rsidR="00DA6F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;</w:t>
      </w:r>
      <w:r w:rsidR="00DA6F7A" w:rsidRPr="00DA6F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 </w:t>
      </w:r>
    </w:p>
    <w:p w14:paraId="64655F28" w14:textId="2FB363FF" w:rsidR="00861803" w:rsidRPr="00F5739E" w:rsidRDefault="00861803" w:rsidP="00861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86180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4"/>
          <w:lang w:val="ro-RO" w:eastAsia="ro-RO"/>
          <w14:ligatures w14:val="none"/>
        </w:rPr>
        <w:tab/>
      </w:r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</w:t>
      </w:r>
      <w:r w:rsidR="00F5739E"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31093</w:t>
      </w:r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/(R</w:t>
      </w:r>
      <w:r w:rsidR="00F5739E"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U</w:t>
      </w:r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)</w:t>
      </w:r>
      <w:r w:rsidR="00F5739E"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31094</w:t>
      </w:r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2</w:t>
      </w:r>
      <w:r w:rsidR="00F5739E"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7</w:t>
      </w:r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.03.2024 întocmit de Direcția</w:t>
      </w:r>
      <w:bookmarkStart w:id="1" w:name="_Hlk152137796"/>
      <w:r w:rsidRP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tehnică;</w:t>
      </w:r>
    </w:p>
    <w:p w14:paraId="2B18F51E" w14:textId="4E632F66" w:rsidR="00861803" w:rsidRPr="00DB036A" w:rsidRDefault="00861803" w:rsidP="00917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proofErr w:type="spellStart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 </w:t>
      </w:r>
      <w:r w:rsidR="00836966"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</w:t>
      </w:r>
      <w:r w:rsidRPr="00F573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28.03.2024 al</w:t>
      </w:r>
      <w:bookmarkEnd w:id="1"/>
      <w:r w:rsidR="00917E31" w:rsidRPr="00F5739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juridice, de disciplină, muncă, învățământ, sănătate, familie, protecție socială, protecția copiilor, apărarea ordinii și liniștii publice, respectarea drepturilor omului și libertăților cetățenești, culte și a celorlalte Comisii de </w:t>
      </w:r>
      <w:proofErr w:type="gramStart"/>
      <w:r w:rsidR="00917E31" w:rsidRPr="00F5739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specialitate  ale</w:t>
      </w:r>
      <w:proofErr w:type="gramEnd"/>
      <w:r w:rsidR="00917E31" w:rsidRPr="00F5739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Consiliului Local al Municipiului Lugoj;</w:t>
      </w:r>
    </w:p>
    <w:p w14:paraId="19D0457C" w14:textId="77777777" w:rsidR="00DB036A" w:rsidRPr="00DB036A" w:rsidRDefault="00DB036A" w:rsidP="00DB036A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B036A">
        <w:rPr>
          <w:rFonts w:ascii="Calibri" w:eastAsia="Times New Roman" w:hAnsi="Calibri" w:cs="Times New Roman"/>
          <w:kern w:val="0"/>
          <w:lang w:val="ro-RO"/>
          <w14:ligatures w14:val="none"/>
        </w:rPr>
        <w:tab/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Luând în considerare contractul de finanțare nr. SP74/20/30.03.2024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66066C41" w14:textId="77777777" w:rsidR="00DB036A" w:rsidRPr="00DB036A" w:rsidRDefault="00DB036A" w:rsidP="00DB036A">
      <w:pPr>
        <w:spacing w:after="0"/>
        <w:jc w:val="both"/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Cererea</w:t>
      </w:r>
      <w:proofErr w:type="spellEnd"/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finan</w:t>
      </w:r>
      <w:proofErr w:type="spellEnd"/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țare cu </w:t>
      </w:r>
      <w:proofErr w:type="gramStart"/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titlul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,,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Construire</w:t>
      </w:r>
      <w:proofErr w:type="spellEnd"/>
      <w:proofErr w:type="gram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spital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și funcțiuni conexe pentru Spitalul Municipal ,,DR. TEODOR ANDREI Lugoj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” din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proiectului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finan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țare europeană, proiect depus de către Primăria Municipiului Lugoj în cadrul PNRR Componenta 12, PNRR/2022/C12/MS-0212-Infrastructură spitalicească publică nouă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”;</w:t>
      </w:r>
    </w:p>
    <w:p w14:paraId="1F73DB06" w14:textId="389B6421" w:rsidR="00DB036A" w:rsidRPr="00DB036A" w:rsidRDefault="00DB036A" w:rsidP="00DB036A">
      <w:pPr>
        <w:spacing w:after="0"/>
        <w:jc w:val="both"/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</w:pP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ab/>
        <w:t>Lu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â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considerare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Dispoziția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Primarului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Municipiului Lugoj nr.</w:t>
      </w:r>
      <w:r w:rsidR="00E73947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955 din 13.09.2023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fost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desemnată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comisia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evaluare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precum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cooptarea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unor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experți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sprijinirea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activităților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evaluare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ofertelor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atribuirea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având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ca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obiect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:,,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Construire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spital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și funcțiuni conexe pentru Spitalul Municipal ,,DR. TEODOR ANDREI Lugoj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”,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anunț de participare nr.CN1056944, din cadrul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proiectului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finan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>țare europeană, proiect depus de către Primăria Municipiului Lugoj în cadrul PNRR Componenta 12, PNRR/2022/C12/MS-0212-Infrastructură spitalicească publică nouă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”;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 xml:space="preserve">  </w:t>
      </w:r>
    </w:p>
    <w:p w14:paraId="3AA62DC0" w14:textId="77777777" w:rsidR="00DB036A" w:rsidRPr="00DB036A" w:rsidRDefault="00DB036A" w:rsidP="00DB036A">
      <w:pPr>
        <w:spacing w:after="0"/>
        <w:jc w:val="both"/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</w:pP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ro-RO"/>
          <w14:ligatures w14:val="none"/>
        </w:rPr>
        <w:t xml:space="preserve">Ținând cont de faptul că prin Raportul  procedurii </w:t>
      </w:r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atribuire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s-a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respins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oferta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Asocierii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SSAB ca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inacceptabilă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autoritatea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contractantă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apreciind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oferta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nu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îndeplinește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criterii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calificare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impuse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documentație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particular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cerința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experiența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similară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lucrări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nici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experiența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similară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servicii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proiectare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435FDE9" w14:textId="77777777" w:rsidR="00DB036A" w:rsidRPr="00DB036A" w:rsidRDefault="00DB036A" w:rsidP="00DB0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Luând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considerare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faptul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contestației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nr. SSB097/19.02.2024,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cu nr. 16/16093 din 19.02.2024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la Consiliul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Soluționare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Contestațiilor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sub nr.10517/20.02.2024,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formulată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SSAB A.G. S.A, cu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Bacău,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nr. 159,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etaj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. 1,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Bacău,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lider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asocierii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SSAB A.G. S.A.,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lider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- ACER PROJE ÎNȘAAT A.Ș.,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asociat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- BEMEL AG S.R.L.,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asociat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obiect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CONSTRUIRE SPITAL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FUNCTIUNI CONEXE PENTRU SPITALUL MUNICIPAL „DR. TEODOR ANDREI” LUGOJ, Consiliul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nr.655/C5/498/15.03.2024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3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care a admis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contestația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formulată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SSAB A.G. S.A.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lider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Asocierii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SSAB A.G. S.A.- ACER PROJE ÎNȘAAT A.Ș. -BEMEL AG S.R.L(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Asocierea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SSAB AG)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contradictoriu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cu PRIMĂRIA MUNICIPIULUI LUGOJ,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autoritate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36A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B0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5AA158" w14:textId="3C5D071A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Cu respectarea prevederilor art.</w:t>
      </w:r>
      <w:r w:rsidR="00E7394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I alin.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(2) lit.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b)</w:t>
      </w:r>
      <w:r w:rsidRPr="00DB036A">
        <w:rPr>
          <w:rFonts w:ascii="Times New Roman" w:eastAsia="Times New Roman" w:hAnsi="Times New Roman" w:cs="Times New Roman"/>
          <w:color w:val="333132"/>
          <w:kern w:val="0"/>
          <w:sz w:val="24"/>
          <w:szCs w:val="24"/>
          <w:lang w:val="ro-RO"/>
          <w14:ligatures w14:val="none"/>
        </w:rPr>
        <w:t xml:space="preserve"> din O.U.G. nr.26/2012</w:t>
      </w:r>
      <w:r w:rsidRPr="00DB036A">
        <w:rPr>
          <w:rFonts w:ascii="Verdana" w:eastAsia="Times New Roman" w:hAnsi="Verdana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privind unele măsuri de reducere a cheltuielilor publice şi întărirea disciplinei financiare şi de modificare şi completare a unor acte normative, cu modificările și completările ulterioare;</w:t>
      </w:r>
    </w:p>
    <w:p w14:paraId="0DEC94AC" w14:textId="57E6445D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Luând în considerare art.</w:t>
      </w:r>
      <w:r w:rsidR="00E7394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84 alin.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(1) din Codul de procedură civilă;</w:t>
      </w:r>
    </w:p>
    <w:p w14:paraId="48104CF2" w14:textId="37D98E69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Ținând cont de prevederile art.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 și art.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32 alin.</w:t>
      </w:r>
      <w:r w:rsidR="00E7394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(1)din Legea nr.101/2016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remediile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căile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atac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materie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atribuire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contractelor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achiziţie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publică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contractelor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sectoriale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contractelor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concesiune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lucrări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concesiune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servicii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organizarea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funcţionarea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Consiliului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Naţional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Soluţionare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Contestaţiilor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DB036A">
        <w:rPr>
          <w:rFonts w:ascii="Times New Roman" w:eastAsia="MS ??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3464BE2D" w14:textId="1B472309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Văzând dispozițiile art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.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14 din Legea nr. 273/2006 a finanțelor publice locale, cu modificările și completările ulterioare;</w:t>
      </w:r>
    </w:p>
    <w:p w14:paraId="17E08B28" w14:textId="69DF8324" w:rsidR="00DB036A" w:rsidRPr="00DB036A" w:rsidRDefault="00DB036A" w:rsidP="00DB0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ab/>
        <w:t>În conformitate cu art. 109, alin.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>(2) și (3)  art.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>129 alin. (1) și (14), art.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>136, art.</w:t>
      </w:r>
      <w:r w:rsidR="00F5739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 xml:space="preserve"> </w:t>
      </w:r>
      <w:r w:rsidRPr="00DB03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zh-CN" w:bidi="hi-IN"/>
          <w14:ligatures w14:val="none"/>
        </w:rPr>
        <w:t>139 alin. (1) și (3) din Ordonanța de Urgență nr. 57/2019 privind Codul administrativ, cu modificările și completările ulterioare;</w:t>
      </w:r>
    </w:p>
    <w:p w14:paraId="2A6F5DE2" w14:textId="66F3AE79" w:rsidR="008E0F64" w:rsidRPr="00DB036A" w:rsidRDefault="00DB036A" w:rsidP="00DB036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DB036A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În temeiul art. 196 alin. (1) lit. a) și art. 243 alin. (1) lit. a) din Ordonanța de Urgență  nr. 57/2019 privind Codul administrativ, cu modificările și completările ulterioare,</w:t>
      </w:r>
    </w:p>
    <w:p w14:paraId="75ED2054" w14:textId="77777777" w:rsidR="00DB036A" w:rsidRDefault="00DB036A" w:rsidP="00DB036A">
      <w:pPr>
        <w:widowControl w:val="0"/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>HOTĂRĂŞTE :</w:t>
      </w:r>
    </w:p>
    <w:p w14:paraId="449DAB0D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</w:p>
    <w:p w14:paraId="24FE3F09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ro-RO"/>
          <w14:ligatures w14:val="none"/>
        </w:rPr>
      </w:pPr>
      <w:r w:rsidRPr="00DB036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Art.1.</w:t>
      </w: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–  Se aprobă </w:t>
      </w:r>
      <w:r w:rsidRPr="00DB0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/>
          <w14:ligatures w14:val="none"/>
        </w:rPr>
        <w:t xml:space="preserve">mandatarea Primarului Municipiului Lugoj </w:t>
      </w:r>
      <w:r w:rsidRPr="00DB0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>să achiziționeze  servicii juridice de consultanță, de asistență și reprezentare, în vederea susținerii intereselor Primăriei Municipiului Lugoj-autoritate contractantă în contestația împotriva Deciziei Consiliului Național de Soluționare a Contestațiilor nr.655/C5/498 din 15.03.2024.</w:t>
      </w:r>
    </w:p>
    <w:p w14:paraId="48C5144F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Art.2.</w:t>
      </w:r>
      <w:r w:rsidRPr="00DB036A"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 xml:space="preserve"> </w:t>
      </w: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-  </w:t>
      </w:r>
      <w:r w:rsidRPr="00DB036A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  <w14:ligatures w14:val="none"/>
        </w:rPr>
        <w:t>Cheltuielile necesare în vederea ducerii la îndeplinire a prezentei hotărâri vor fi suportate din bugetul local.</w:t>
      </w:r>
    </w:p>
    <w:p w14:paraId="4BA904F2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color w:val="0E0E0E"/>
          <w:kern w:val="3"/>
          <w:sz w:val="28"/>
          <w:szCs w:val="28"/>
          <w:lang w:val="en-US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DB036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Art.3.</w:t>
      </w: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- Îndeplinirea prevederilor prezentei hotărâri se încredințează Direcției administrație publică locală și Biroului management proiecte, programe.</w:t>
      </w:r>
    </w:p>
    <w:p w14:paraId="2E2FA77C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</w:r>
      <w:r w:rsidRPr="00DB036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Art.4.</w:t>
      </w:r>
      <w:r w:rsidRPr="00DB036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- Prezenta hotărâre se comunică:</w:t>
      </w:r>
    </w:p>
    <w:p w14:paraId="75390547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Instituţiei Prefectului - Judeţul Timiş;</w:t>
      </w:r>
    </w:p>
    <w:p w14:paraId="278C6EB4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Primarului interimar al Municipiului Lugoj;</w:t>
      </w:r>
    </w:p>
    <w:p w14:paraId="03EDD5AE" w14:textId="562B2F8E" w:rsidR="00EB0D9D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Direcţiei administraţie publică locală;</w:t>
      </w:r>
    </w:p>
    <w:p w14:paraId="21351495" w14:textId="0500FA26" w:rsidR="00EB0D9D" w:rsidRPr="00EB0D9D" w:rsidRDefault="00EB0D9D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Direc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ției buget-cheltuieli</w:t>
      </w: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</w:p>
    <w:p w14:paraId="2BA5CD25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Direcției tehnice</w:t>
      </w:r>
      <w:r w:rsidRPr="00DB036A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</w:p>
    <w:p w14:paraId="12BBD571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Biroului juridic;</w:t>
      </w:r>
    </w:p>
    <w:p w14:paraId="4AF81117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Biroului management proiecte, programe;</w:t>
      </w:r>
    </w:p>
    <w:p w14:paraId="29B46C4F" w14:textId="77777777" w:rsidR="00DB036A" w:rsidRPr="00DB036A" w:rsidRDefault="00DB036A" w:rsidP="00DB03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>- Celor interesaţi prin afişare şi publicare;</w:t>
      </w:r>
    </w:p>
    <w:p w14:paraId="590740B6" w14:textId="0D716C57" w:rsidR="008430DB" w:rsidRDefault="00DB036A" w:rsidP="008E0F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 w:rsidRPr="00DB036A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            - Comisiilor de specialitate ale Consiliului Local.</w:t>
      </w:r>
    </w:p>
    <w:p w14:paraId="234FF72B" w14:textId="77777777" w:rsidR="008E0F64" w:rsidRPr="008E0F64" w:rsidRDefault="008E0F64" w:rsidP="008E0F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</w:p>
    <w:p w14:paraId="7A37DE80" w14:textId="77777777" w:rsidR="008430DB" w:rsidRPr="008430DB" w:rsidRDefault="008430DB" w:rsidP="00843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39869561"/>
      <w:r w:rsidRPr="008430D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4C5FBF46" w14:textId="77777777" w:rsidR="008430DB" w:rsidRPr="008430DB" w:rsidRDefault="008430DB" w:rsidP="00843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8430D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8430D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8430D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1039B421" w14:textId="196064D4" w:rsidR="008430DB" w:rsidRPr="008430DB" w:rsidRDefault="008430DB" w:rsidP="00843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8430D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74A7DDC4" w14:textId="77777777" w:rsidR="008E0F64" w:rsidRDefault="008E0F64" w:rsidP="00843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82FC244" w14:textId="77777777" w:rsidR="008430DB" w:rsidRPr="008430DB" w:rsidRDefault="008430DB" w:rsidP="00843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C1C0D61" w14:textId="075B7C79" w:rsidR="008430DB" w:rsidRPr="008430DB" w:rsidRDefault="008430DB" w:rsidP="008430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</w:t>
      </w:r>
      <w:r w:rsidR="00810DE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</w:t>
      </w:r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</w:t>
      </w:r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3</w:t>
      </w:r>
      <w:r w:rsidRPr="008430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8430DB" w:rsidRPr="008430DB" w14:paraId="13E99DDC" w14:textId="77777777" w:rsidTr="00716AC5">
        <w:tc>
          <w:tcPr>
            <w:tcW w:w="468" w:type="dxa"/>
          </w:tcPr>
          <w:p w14:paraId="0B3A2E97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5219FD25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 xml:space="preserve">Total </w:t>
            </w:r>
            <w:proofErr w:type="spellStart"/>
            <w:r w:rsidRPr="008430DB">
              <w:rPr>
                <w:lang w:val="en-US"/>
              </w:rPr>
              <w:t>consilieri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4A114750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19</w:t>
            </w:r>
          </w:p>
        </w:tc>
      </w:tr>
      <w:tr w:rsidR="008430DB" w:rsidRPr="008430DB" w14:paraId="54A7FF5D" w14:textId="77777777" w:rsidTr="00716AC5">
        <w:trPr>
          <w:trHeight w:val="188"/>
        </w:trPr>
        <w:tc>
          <w:tcPr>
            <w:tcW w:w="468" w:type="dxa"/>
          </w:tcPr>
          <w:p w14:paraId="0459B394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004AE027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 xml:space="preserve">Total </w:t>
            </w:r>
            <w:proofErr w:type="spellStart"/>
            <w:r w:rsidRPr="008430DB">
              <w:rPr>
                <w:lang w:val="en-US"/>
              </w:rPr>
              <w:t>consilieri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5385F229" w14:textId="0DAB8678" w:rsidR="008430DB" w:rsidRPr="008430DB" w:rsidRDefault="004F0FD3" w:rsidP="00843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8430DB" w:rsidRPr="008430DB" w14:paraId="2C872C8D" w14:textId="77777777" w:rsidTr="00716AC5">
        <w:tc>
          <w:tcPr>
            <w:tcW w:w="468" w:type="dxa"/>
          </w:tcPr>
          <w:p w14:paraId="4BFC6D4C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DF9E6A2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proofErr w:type="spellStart"/>
            <w:r w:rsidRPr="008430DB">
              <w:rPr>
                <w:lang w:val="en-US"/>
              </w:rPr>
              <w:t>Număr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voturi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711AF83" w14:textId="4FE6C87E" w:rsidR="008430DB" w:rsidRPr="008430DB" w:rsidRDefault="004F0FD3" w:rsidP="00843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0F64">
              <w:rPr>
                <w:lang w:val="en-US"/>
              </w:rPr>
              <w:t>1</w:t>
            </w:r>
          </w:p>
        </w:tc>
      </w:tr>
      <w:tr w:rsidR="008430DB" w:rsidRPr="008430DB" w14:paraId="0EB78AD8" w14:textId="77777777" w:rsidTr="00716AC5">
        <w:tc>
          <w:tcPr>
            <w:tcW w:w="468" w:type="dxa"/>
          </w:tcPr>
          <w:p w14:paraId="58C4EFA5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162A5F4A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proofErr w:type="spellStart"/>
            <w:r w:rsidRPr="008430DB">
              <w:rPr>
                <w:lang w:val="en-US"/>
              </w:rPr>
              <w:t>Număr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voturi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2966542" w14:textId="020BC6EB" w:rsidR="008430DB" w:rsidRPr="008430DB" w:rsidRDefault="008E0F64" w:rsidP="00843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30DB" w:rsidRPr="008430DB" w14:paraId="7E92D288" w14:textId="77777777" w:rsidTr="00716AC5">
        <w:tc>
          <w:tcPr>
            <w:tcW w:w="468" w:type="dxa"/>
          </w:tcPr>
          <w:p w14:paraId="3256294E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2E7B6EF4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proofErr w:type="spellStart"/>
            <w:r w:rsidRPr="008430DB">
              <w:rPr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505C4368" w14:textId="102E4112" w:rsidR="008430DB" w:rsidRPr="008430DB" w:rsidRDefault="00810DE0" w:rsidP="00843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430DB" w:rsidRPr="008430DB" w14:paraId="1B9E9D12" w14:textId="77777777" w:rsidTr="00716AC5">
        <w:trPr>
          <w:trHeight w:val="312"/>
        </w:trPr>
        <w:tc>
          <w:tcPr>
            <w:tcW w:w="468" w:type="dxa"/>
          </w:tcPr>
          <w:p w14:paraId="61A39EDE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r w:rsidRPr="008430DB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5D12A767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proofErr w:type="spellStart"/>
            <w:r w:rsidRPr="008430DB">
              <w:rPr>
                <w:lang w:val="en-US"/>
              </w:rPr>
              <w:t>Adoptarea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hotărârii</w:t>
            </w:r>
            <w:proofErr w:type="spellEnd"/>
            <w:r w:rsidRPr="008430DB">
              <w:rPr>
                <w:lang w:val="en-US"/>
              </w:rPr>
              <w:t xml:space="preserve"> s-a </w:t>
            </w:r>
            <w:proofErr w:type="spellStart"/>
            <w:r w:rsidRPr="008430DB">
              <w:rPr>
                <w:lang w:val="en-US"/>
              </w:rPr>
              <w:t>făcut</w:t>
            </w:r>
            <w:proofErr w:type="spellEnd"/>
            <w:r w:rsidRPr="008430DB">
              <w:rPr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FAD04D1" w14:textId="77777777" w:rsidR="008430DB" w:rsidRPr="008430DB" w:rsidRDefault="008430DB" w:rsidP="008430DB">
            <w:pPr>
              <w:jc w:val="center"/>
              <w:rPr>
                <w:lang w:val="en-US"/>
              </w:rPr>
            </w:pPr>
            <w:proofErr w:type="spellStart"/>
            <w:r w:rsidRPr="008430DB">
              <w:rPr>
                <w:lang w:val="en-US"/>
              </w:rPr>
              <w:t>majoritate</w:t>
            </w:r>
            <w:proofErr w:type="spellEnd"/>
            <w:r w:rsidRPr="008430DB">
              <w:rPr>
                <w:lang w:val="en-US"/>
              </w:rPr>
              <w:t xml:space="preserve"> </w:t>
            </w:r>
            <w:proofErr w:type="spellStart"/>
            <w:r w:rsidRPr="008430DB">
              <w:rPr>
                <w:lang w:val="en-US"/>
              </w:rPr>
              <w:t>absolută</w:t>
            </w:r>
            <w:proofErr w:type="spellEnd"/>
          </w:p>
        </w:tc>
      </w:tr>
      <w:bookmarkEnd w:id="2"/>
    </w:tbl>
    <w:p w14:paraId="6E86A937" w14:textId="77777777" w:rsidR="008430DB" w:rsidRPr="008430DB" w:rsidRDefault="008430DB">
      <w:pPr>
        <w:rPr>
          <w:lang w:val="ro-RO"/>
        </w:rPr>
      </w:pPr>
    </w:p>
    <w:sectPr w:rsidR="008430DB" w:rsidRPr="008430DB" w:rsidSect="006D205E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152A4"/>
    <w:rsid w:val="00155B87"/>
    <w:rsid w:val="00294832"/>
    <w:rsid w:val="002B2631"/>
    <w:rsid w:val="00396373"/>
    <w:rsid w:val="004E3522"/>
    <w:rsid w:val="004F0FD3"/>
    <w:rsid w:val="005C18A5"/>
    <w:rsid w:val="00691CAC"/>
    <w:rsid w:val="006B0400"/>
    <w:rsid w:val="006D205E"/>
    <w:rsid w:val="00797EDC"/>
    <w:rsid w:val="007A3DA0"/>
    <w:rsid w:val="00810DE0"/>
    <w:rsid w:val="00836966"/>
    <w:rsid w:val="008430DB"/>
    <w:rsid w:val="00861803"/>
    <w:rsid w:val="00874642"/>
    <w:rsid w:val="008E0F64"/>
    <w:rsid w:val="00901CB7"/>
    <w:rsid w:val="00917E31"/>
    <w:rsid w:val="00BC7B5E"/>
    <w:rsid w:val="00DA6F7A"/>
    <w:rsid w:val="00DB036A"/>
    <w:rsid w:val="00E73947"/>
    <w:rsid w:val="00EB0D9D"/>
    <w:rsid w:val="00F5739E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BEFC"/>
  <w15:chartTrackingRefBased/>
  <w15:docId w15:val="{B83ADEA3-30B9-4585-9B63-ADA5461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0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0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0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0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0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0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0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0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0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0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0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0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0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0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0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0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0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0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0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0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0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30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0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0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0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0D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8430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24CA-2302-4276-8A79-5B4ADEB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16</cp:revision>
  <dcterms:created xsi:type="dcterms:W3CDTF">2024-03-28T13:55:00Z</dcterms:created>
  <dcterms:modified xsi:type="dcterms:W3CDTF">2024-03-29T07:25:00Z</dcterms:modified>
</cp:coreProperties>
</file>