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73443" w14:textId="77777777" w:rsidR="00E944F0" w:rsidRPr="00762B41" w:rsidRDefault="00E944F0" w:rsidP="00E944F0">
      <w:pPr>
        <w:widowControl w:val="0"/>
        <w:suppressAutoHyphens/>
        <w:autoSpaceDN w:val="0"/>
        <w:spacing w:after="0" w:line="240" w:lineRule="auto"/>
        <w:ind w:left="1191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762B41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ROMÂNIA</w:t>
      </w:r>
    </w:p>
    <w:p w14:paraId="501CB020" w14:textId="77777777" w:rsidR="00E944F0" w:rsidRPr="00762B41" w:rsidRDefault="00E944F0" w:rsidP="00E944F0">
      <w:pPr>
        <w:widowControl w:val="0"/>
        <w:suppressAutoHyphens/>
        <w:autoSpaceDN w:val="0"/>
        <w:spacing w:after="0" w:line="240" w:lineRule="auto"/>
        <w:ind w:left="964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762B41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JUDEȚUL TIMIȘ</w:t>
      </w:r>
    </w:p>
    <w:p w14:paraId="779DA7E5" w14:textId="77777777" w:rsidR="00E944F0" w:rsidRPr="00762B41" w:rsidRDefault="00E944F0" w:rsidP="00E944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762B41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CONSILIUL LOCAL AL MUNICIPIULUI LUGOJ</w:t>
      </w:r>
    </w:p>
    <w:p w14:paraId="763EE816" w14:textId="77777777" w:rsidR="00E944F0" w:rsidRPr="00762B41" w:rsidRDefault="00E944F0" w:rsidP="00E9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                </w:t>
      </w: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ab/>
      </w: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ab/>
      </w: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ab/>
      </w: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ab/>
      </w: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ab/>
      </w: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ab/>
      </w: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ab/>
      </w:r>
    </w:p>
    <w:p w14:paraId="665A8369" w14:textId="77777777" w:rsidR="00E944F0" w:rsidRPr="00762B41" w:rsidRDefault="00E944F0" w:rsidP="00E94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val="pt-PT"/>
          <w14:ligatures w14:val="none"/>
        </w:rPr>
      </w:pP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ab/>
      </w: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ab/>
      </w: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ab/>
      </w: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ab/>
        <w:t xml:space="preserve">               </w:t>
      </w:r>
      <w:r w:rsidRPr="00762B41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val="pt-PT"/>
          <w14:ligatures w14:val="none"/>
        </w:rPr>
        <w:t>HOTĂRÂREA</w:t>
      </w:r>
    </w:p>
    <w:p w14:paraId="397030E1" w14:textId="77777777" w:rsidR="00E944F0" w:rsidRDefault="00E944F0" w:rsidP="00E9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</w:pPr>
      <w:r w:rsidRPr="00762B41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>privind aprobarea inițierii procedurii pentru vânzare a un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>ui</w:t>
      </w:r>
      <w:r w:rsidRPr="00762B41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 teren situat</w:t>
      </w:r>
    </w:p>
    <w:p w14:paraId="20100A7F" w14:textId="77777777" w:rsidR="00E944F0" w:rsidRPr="00762B41" w:rsidRDefault="00E944F0" w:rsidP="00E9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</w:pPr>
      <w:r w:rsidRPr="00762B41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 în municipiul Lugoj</w:t>
      </w:r>
    </w:p>
    <w:p w14:paraId="226F6D0D" w14:textId="77777777" w:rsidR="00E944F0" w:rsidRDefault="00E944F0" w:rsidP="00E94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7B74711" w14:textId="77777777" w:rsidR="00E944F0" w:rsidRDefault="00E944F0" w:rsidP="00E944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ab/>
      </w: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Consiliul Local al Municipiului Lugoj;</w:t>
      </w:r>
    </w:p>
    <w:p w14:paraId="26BB0815" w14:textId="77777777" w:rsidR="00E944F0" w:rsidRDefault="00E944F0" w:rsidP="00E944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Ținând cont de referatul Direcției urbanism-mediu – Compartimentul urbanism, amenajarea teritoriului și protejarea monumentelor istorice nr. 16/122125/(RU)122126 din 05.12.2024;</w:t>
      </w:r>
    </w:p>
    <w:p w14:paraId="1412B705" w14:textId="77777777" w:rsidR="00E944F0" w:rsidRPr="001F180A" w:rsidRDefault="00E944F0" w:rsidP="00E944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1F180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Având în vedere referatul nr. 16/124197/(RU)124198 din 10.12.2024 al Primarului Municipiului Lugoj - inițiator al proiectului de hotărâre;</w:t>
      </w:r>
      <w:bookmarkStart w:id="0" w:name="_Hlk139870664"/>
      <w:bookmarkStart w:id="1" w:name="_Hlk139869716"/>
    </w:p>
    <w:p w14:paraId="159AD692" w14:textId="77777777" w:rsidR="00E944F0" w:rsidRPr="001F180A" w:rsidRDefault="00E944F0" w:rsidP="00E944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1F180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Proiectul de hotărâre nr. 243 din 06.12.2024 privind aprobarea inițierii procedurii pentru vânzare a unui teren situat în municipiul Lugoj;</w:t>
      </w:r>
    </w:p>
    <w:p w14:paraId="515156C0" w14:textId="77777777" w:rsidR="00E944F0" w:rsidRPr="001F180A" w:rsidRDefault="00E944F0" w:rsidP="00E944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1F180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Luând în considerare raportul de specialitate nr. 16/125094/(RU)125095 din 11.12.2024 întocmit de </w:t>
      </w:r>
      <w:bookmarkEnd w:id="0"/>
      <w:bookmarkEnd w:id="1"/>
      <w:r w:rsidRPr="001F180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Arhitect Șef;</w:t>
      </w:r>
      <w:bookmarkStart w:id="2" w:name="_Hlk152137796"/>
    </w:p>
    <w:p w14:paraId="01EBBAAA" w14:textId="7A199285" w:rsidR="00E944F0" w:rsidRPr="001F180A" w:rsidRDefault="00E944F0" w:rsidP="00E944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proofErr w:type="spellStart"/>
      <w:r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Luând</w:t>
      </w:r>
      <w:proofErr w:type="spellEnd"/>
      <w:r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considerare</w:t>
      </w:r>
      <w:proofErr w:type="spellEnd"/>
      <w:r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avizul</w:t>
      </w:r>
      <w:proofErr w:type="spellEnd"/>
      <w:r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nr. </w:t>
      </w:r>
      <w:r w:rsidR="001F180A"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125</w:t>
      </w:r>
      <w:r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din</w:t>
      </w:r>
      <w:proofErr w:type="gramEnd"/>
      <w:r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F180A"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.12.2024 al </w:t>
      </w:r>
      <w:proofErr w:type="spellStart"/>
      <w:r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Comisiei</w:t>
      </w:r>
      <w:proofErr w:type="spellEnd"/>
      <w:r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amenajarea</w:t>
      </w:r>
      <w:proofErr w:type="spellEnd"/>
      <w:r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teritoriului</w:t>
      </w:r>
      <w:proofErr w:type="spellEnd"/>
      <w:r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administrarea</w:t>
      </w:r>
      <w:proofErr w:type="spellEnd"/>
      <w:r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patrimoniului</w:t>
      </w:r>
      <w:proofErr w:type="spellEnd"/>
      <w:r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urbanism, </w:t>
      </w:r>
      <w:proofErr w:type="spellStart"/>
      <w:r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servicii</w:t>
      </w:r>
      <w:proofErr w:type="spellEnd"/>
      <w:r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publice</w:t>
      </w:r>
      <w:proofErr w:type="spellEnd"/>
      <w:r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protecția</w:t>
      </w:r>
      <w:proofErr w:type="spellEnd"/>
      <w:r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mediului</w:t>
      </w:r>
      <w:proofErr w:type="spellEnd"/>
      <w:r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celorlalte</w:t>
      </w:r>
      <w:proofErr w:type="spellEnd"/>
      <w:r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Comisii</w:t>
      </w:r>
      <w:proofErr w:type="spellEnd"/>
      <w:r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specialitate</w:t>
      </w:r>
      <w:proofErr w:type="spellEnd"/>
      <w:r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ale </w:t>
      </w:r>
      <w:proofErr w:type="spellStart"/>
      <w:r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Consiliului</w:t>
      </w:r>
      <w:proofErr w:type="spellEnd"/>
      <w:r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Local al Municipiului Lugoj</w:t>
      </w:r>
      <w:bookmarkEnd w:id="2"/>
      <w:r w:rsidRPr="001F18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2A8BA35F" w14:textId="77777777" w:rsidR="00E944F0" w:rsidRDefault="00E944F0" w:rsidP="00E944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Luând în considerare cerer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ea</w:t>
      </w: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doamnei </w:t>
      </w:r>
      <w:r w:rsidRPr="00371CD5">
        <w:rPr>
          <w:rFonts w:ascii="Times New Roman" w:eastAsia="Times New Roman" w:hAnsi="Times New Roman" w:cs="Times New Roman"/>
          <w:kern w:val="0"/>
          <w:sz w:val="24"/>
          <w:szCs w:val="24"/>
          <w:highlight w:val="black"/>
          <w:lang w:val="ro-RO"/>
          <w14:ligatures w14:val="none"/>
        </w:rPr>
        <w:t>Darvos Loredana-Elena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, </w:t>
      </w: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înregistrat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</w:t>
      </w: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în evidențele instituției noastre sub nr.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16/117464</w:t>
      </w: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din 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5</w:t>
      </w: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11</w:t>
      </w: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4;</w:t>
      </w:r>
    </w:p>
    <w:p w14:paraId="601778D6" w14:textId="77777777" w:rsidR="00E944F0" w:rsidRDefault="00E944F0" w:rsidP="00E944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Ținând cont de Hotărârea Consiliului Local nr. 239 din 25.11.2021 </w:t>
      </w:r>
      <w:r w:rsidRPr="00006A22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privind atribuirea în folosinţă gratuită pe durata existenţei locuinţei, doamnei </w:t>
      </w:r>
      <w:r w:rsidRPr="00371CD5">
        <w:rPr>
          <w:rFonts w:ascii="Times New Roman" w:eastAsia="Times New Roman" w:hAnsi="Times New Roman" w:cs="Times New Roman"/>
          <w:kern w:val="0"/>
          <w:sz w:val="24"/>
          <w:szCs w:val="24"/>
          <w:highlight w:val="black"/>
          <w:lang w:val="ro-RO"/>
          <w14:ligatures w14:val="none"/>
        </w:rPr>
        <w:t>Darvos Loredana-Elena</w:t>
      </w:r>
      <w:r w:rsidRPr="00006A22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,  a unui teren în suprafaţă de 300 m.p., zona PUZ- M.A.N., înscris în C.F nr. 411077 Lugoj, nr. cadastral 411077 în vederea construirii unei locuinţe proprietate personală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;</w:t>
      </w:r>
    </w:p>
    <w:p w14:paraId="291CBC45" w14:textId="77777777" w:rsidR="00E944F0" w:rsidRDefault="00E944F0" w:rsidP="00E944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006A22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În conformitate cu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art. 8 </w:t>
      </w:r>
      <w:r w:rsidRPr="00006A22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din Legea nr. 15/2003 privind sprijinul acordat tinerilor pentru construirea unei locuinţe proprietate personală, republicată şi modificată;</w:t>
      </w:r>
    </w:p>
    <w:p w14:paraId="3D741D26" w14:textId="77777777" w:rsidR="00E944F0" w:rsidRDefault="00E944F0" w:rsidP="00E944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proofErr w:type="spellStart"/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În</w:t>
      </w:r>
      <w:proofErr w:type="spellEnd"/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conformitate</w:t>
      </w:r>
      <w:proofErr w:type="spellEnd"/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cu art. 129 </w:t>
      </w:r>
      <w:proofErr w:type="spellStart"/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alin</w:t>
      </w:r>
      <w:proofErr w:type="spellEnd"/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(2) lit. c)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ș</w:t>
      </w: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alin</w:t>
      </w:r>
      <w:proofErr w:type="spellEnd"/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(6) lit. b), art. 136, </w:t>
      </w: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art. 139 alin. (2), </w:t>
      </w: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art. 354, art. 355 </w:t>
      </w:r>
      <w:proofErr w:type="spellStart"/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și</w:t>
      </w:r>
      <w:proofErr w:type="spellEnd"/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art. 364 </w:t>
      </w:r>
      <w:proofErr w:type="spellStart"/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alin</w:t>
      </w:r>
      <w:proofErr w:type="spellEnd"/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(1) </w:t>
      </w:r>
      <w:proofErr w:type="spellStart"/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și</w:t>
      </w:r>
      <w:proofErr w:type="spellEnd"/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(2) din </w:t>
      </w:r>
      <w:proofErr w:type="spellStart"/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Ordonanța</w:t>
      </w:r>
      <w:proofErr w:type="spellEnd"/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Urgență</w:t>
      </w:r>
      <w:proofErr w:type="spellEnd"/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nr. 57/2019 </w:t>
      </w:r>
      <w:proofErr w:type="spellStart"/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privind</w:t>
      </w:r>
      <w:proofErr w:type="spellEnd"/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Codul</w:t>
      </w:r>
      <w:proofErr w:type="spellEnd"/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administrativ</w:t>
      </w:r>
      <w:proofErr w:type="spellEnd"/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cu </w:t>
      </w:r>
      <w:proofErr w:type="spellStart"/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modificările</w:t>
      </w:r>
      <w:proofErr w:type="spellEnd"/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și</w:t>
      </w:r>
      <w:proofErr w:type="spellEnd"/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completările</w:t>
      </w:r>
      <w:proofErr w:type="spellEnd"/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ulterioare</w:t>
      </w:r>
      <w:proofErr w:type="spellEnd"/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14:paraId="36670684" w14:textId="4F11E45C" w:rsidR="00E944F0" w:rsidRDefault="00E944F0" w:rsidP="00E944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În temeiul art. 196 alin. (1) lit. a), art. 199 alin. (2) și art. 243 alin. (1) lit. a) din Ordonanța de Urgență nr. 57/2019 privind Codul adminitrativ, cu modificările și completările ulterioare,</w:t>
      </w:r>
    </w:p>
    <w:p w14:paraId="422E7DEC" w14:textId="77777777" w:rsidR="001F180A" w:rsidRDefault="001F180A" w:rsidP="00E944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034C6C6F" w14:textId="77777777" w:rsidR="001F180A" w:rsidRPr="00762B41" w:rsidRDefault="001F180A" w:rsidP="00E944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248AEC70" w14:textId="009D4475" w:rsidR="001F180A" w:rsidRPr="00762B41" w:rsidRDefault="00E944F0" w:rsidP="00E9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</w:pPr>
      <w:r w:rsidRPr="00762B41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>H O T Ă R Ă Ş T  E :</w:t>
      </w:r>
    </w:p>
    <w:p w14:paraId="0DB65680" w14:textId="77777777" w:rsidR="00E944F0" w:rsidRPr="00762B41" w:rsidRDefault="00E944F0" w:rsidP="00E94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</w:pPr>
    </w:p>
    <w:p w14:paraId="27212167" w14:textId="77777777" w:rsidR="00E944F0" w:rsidRPr="00762B41" w:rsidRDefault="00E944F0" w:rsidP="00E94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762B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Art.1.</w:t>
      </w: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– Se aprobă inițierea procedurii pentru vânzare a un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ui</w:t>
      </w: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teren situat în municipiul Lugoj, identificat conform anexei care face parte integrantă din prezenta hotărâre.</w:t>
      </w:r>
    </w:p>
    <w:p w14:paraId="3D0B2909" w14:textId="77777777" w:rsidR="00E944F0" w:rsidRPr="00762B41" w:rsidRDefault="00E944F0" w:rsidP="00E944F0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762B41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u w:val="single"/>
          <w:lang w:val="ro-RO" w:eastAsia="ro-RO"/>
          <w14:ligatures w14:val="none"/>
        </w:rPr>
        <w:t>Art.2.</w:t>
      </w:r>
      <w:r w:rsidRPr="00762B41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– Preţu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l</w:t>
      </w:r>
      <w:r w:rsidRPr="00762B41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de vânzare al terenu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lui</w:t>
      </w:r>
      <w:r w:rsidRPr="00762B41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menționat la art. 1 se v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a</w:t>
      </w:r>
      <w:r w:rsidRPr="00762B41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stabili pe baza un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ui</w:t>
      </w:r>
      <w:r w:rsidRPr="00762B41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rapo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rt</w:t>
      </w:r>
      <w:r w:rsidRPr="00762B41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de evaluare aprobat de Consiliul Local al Municipiului Lugoj.</w:t>
      </w:r>
    </w:p>
    <w:p w14:paraId="70321615" w14:textId="77777777" w:rsidR="00E944F0" w:rsidRPr="00762B41" w:rsidRDefault="00E944F0" w:rsidP="00E9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762B4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/>
          <w14:ligatures w14:val="none"/>
        </w:rPr>
        <w:t>Art.3.</w:t>
      </w: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– Proprietar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ul</w:t>
      </w: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construcţi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ei</w:t>
      </w: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edificat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e</w:t>
      </w: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cu bună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credinţă pe terenu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l</w:t>
      </w: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ce fac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e</w:t>
      </w: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obiectul vânzării 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</w:t>
      </w: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avea dreptul de preemţiune la cumpărare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</w:t>
      </w: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acest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uia</w:t>
      </w: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.</w:t>
      </w:r>
    </w:p>
    <w:p w14:paraId="4C861F56" w14:textId="77777777" w:rsidR="00E944F0" w:rsidRPr="00762B41" w:rsidRDefault="00E944F0" w:rsidP="00E9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762B4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/>
          <w14:ligatures w14:val="none"/>
        </w:rPr>
        <w:t>Art.4.</w:t>
      </w: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– Îndeplinirea prevederilor prezentei hotărâri se încredinţează Direcţiei urbanism-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mediu</w:t>
      </w: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.</w:t>
      </w:r>
    </w:p>
    <w:p w14:paraId="506CFBE2" w14:textId="77777777" w:rsidR="00E944F0" w:rsidRPr="00762B41" w:rsidRDefault="00E944F0" w:rsidP="00E944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762B4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/>
          <w14:ligatures w14:val="none"/>
        </w:rPr>
        <w:t>Art.5.</w:t>
      </w: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– Prezenta hotărâre se comunică:</w:t>
      </w:r>
    </w:p>
    <w:p w14:paraId="0007FE8C" w14:textId="77777777" w:rsidR="00E944F0" w:rsidRPr="00762B41" w:rsidRDefault="00E944F0" w:rsidP="00E944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ab/>
        <w:t xml:space="preserve"> - Instituţiei Prefectului, Judeţul Timiş;</w:t>
      </w:r>
    </w:p>
    <w:p w14:paraId="4DBCF47C" w14:textId="77777777" w:rsidR="00E944F0" w:rsidRPr="00762B41" w:rsidRDefault="00E944F0" w:rsidP="00E944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ab/>
        <w:t xml:space="preserve"> - Primarului Municipiului Lugoj;</w:t>
      </w:r>
    </w:p>
    <w:p w14:paraId="64FC18A8" w14:textId="77777777" w:rsidR="00E944F0" w:rsidRPr="00762B41" w:rsidRDefault="00E944F0" w:rsidP="00E944F0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- Direcţiei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juridice</w:t>
      </w: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;</w:t>
      </w:r>
    </w:p>
    <w:p w14:paraId="364AC3D1" w14:textId="77777777" w:rsidR="00E944F0" w:rsidRPr="00762B41" w:rsidRDefault="00E944F0" w:rsidP="00E944F0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- Direcției venituri;</w:t>
      </w:r>
    </w:p>
    <w:p w14:paraId="6D46FA25" w14:textId="77777777" w:rsidR="00E944F0" w:rsidRPr="00762B41" w:rsidRDefault="00E944F0" w:rsidP="00E944F0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- Direcţiei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management financiar</w:t>
      </w: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;</w:t>
      </w:r>
    </w:p>
    <w:p w14:paraId="56F759BF" w14:textId="77777777" w:rsidR="00E944F0" w:rsidRPr="00762B41" w:rsidRDefault="00E944F0" w:rsidP="00E944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lastRenderedPageBreak/>
        <w:t xml:space="preserve"> - Direcţiei urbanism-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mediu;</w:t>
      </w:r>
    </w:p>
    <w:p w14:paraId="6A3ADB69" w14:textId="77777777" w:rsidR="00E944F0" w:rsidRPr="00762B41" w:rsidRDefault="00E944F0" w:rsidP="00E944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762B4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- Comisiilor de specialitate ale Consiliului Local. </w:t>
      </w:r>
    </w:p>
    <w:p w14:paraId="4ECF0AAB" w14:textId="77777777" w:rsidR="00F856D5" w:rsidRDefault="00F856D5"/>
    <w:p w14:paraId="5207CC76" w14:textId="77777777" w:rsidR="00E944F0" w:rsidRDefault="00E944F0"/>
    <w:p w14:paraId="7337A53D" w14:textId="77777777" w:rsidR="00E944F0" w:rsidRDefault="00E944F0"/>
    <w:p w14:paraId="15E3AB57" w14:textId="77777777" w:rsidR="00E944F0" w:rsidRPr="00396809" w:rsidRDefault="00E944F0" w:rsidP="00E944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CONTRASEMNEAZĂ </w:t>
      </w:r>
    </w:p>
    <w:p w14:paraId="5A30D2F0" w14:textId="77777777" w:rsidR="00E944F0" w:rsidRPr="00396809" w:rsidRDefault="00E944F0" w:rsidP="00E944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Marius-Cornel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Baboniu</w:t>
      </w:r>
      <w:proofErr w:type="spellEnd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SECRETARUL GENERAL AL MUNICIPIULUI</w:t>
      </w:r>
    </w:p>
    <w:p w14:paraId="1E193315" w14:textId="77777777" w:rsidR="00E944F0" w:rsidRDefault="00E944F0" w:rsidP="00E944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Ciucu</w:t>
      </w:r>
      <w:proofErr w:type="spellEnd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</w:p>
    <w:p w14:paraId="47C963B3" w14:textId="77777777" w:rsidR="00E944F0" w:rsidRDefault="00E944F0" w:rsidP="00E944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402B747" w14:textId="77777777" w:rsidR="00E944F0" w:rsidRDefault="00E944F0" w:rsidP="00E944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73DCBD3" w14:textId="77777777" w:rsidR="00E944F0" w:rsidRDefault="00E944F0" w:rsidP="00E944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08C934A" w14:textId="77777777" w:rsidR="00E944F0" w:rsidRDefault="00E944F0" w:rsidP="00E944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594B80A" w14:textId="77777777" w:rsidR="00E944F0" w:rsidRDefault="00E944F0" w:rsidP="00E944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8FEFFE9" w14:textId="77777777" w:rsidR="00E944F0" w:rsidRDefault="00E944F0" w:rsidP="00E944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6F1AE5A" w14:textId="77777777" w:rsidR="001F180A" w:rsidRDefault="001F180A" w:rsidP="00E944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4F6DE22" w14:textId="77777777" w:rsidR="00E944F0" w:rsidRDefault="00E944F0" w:rsidP="00E944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5FFCD4C" w14:textId="77777777" w:rsidR="00E944F0" w:rsidRDefault="00E944F0" w:rsidP="00E944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0841BEE" w14:textId="77777777" w:rsidR="00E944F0" w:rsidRDefault="00E944F0" w:rsidP="00E944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8C13DDD" w14:textId="77777777" w:rsidR="00E944F0" w:rsidRDefault="00E944F0" w:rsidP="00E944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86F0375" w14:textId="77777777" w:rsidR="00E944F0" w:rsidRPr="00396809" w:rsidRDefault="00E944F0" w:rsidP="00E944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5E44D82" w14:textId="7DA1A891" w:rsidR="00E944F0" w:rsidRDefault="00E944F0" w:rsidP="00E944F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229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din</w:t>
      </w:r>
      <w:proofErr w:type="gramEnd"/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23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.2024</w:t>
      </w:r>
    </w:p>
    <w:p w14:paraId="527E624C" w14:textId="77777777" w:rsidR="00E944F0" w:rsidRDefault="00E944F0" w:rsidP="00E944F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58DD101" w14:textId="77777777" w:rsidR="00E944F0" w:rsidRDefault="00E944F0" w:rsidP="00E944F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C97F392" w14:textId="77777777" w:rsidR="00E944F0" w:rsidRDefault="00E944F0" w:rsidP="00E944F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48847A5" w14:textId="77777777" w:rsidR="00E944F0" w:rsidRDefault="00E944F0" w:rsidP="00E944F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CA9D763" w14:textId="77777777" w:rsidR="00E944F0" w:rsidRDefault="00E944F0" w:rsidP="00E944F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B01B845" w14:textId="77777777" w:rsidR="00E944F0" w:rsidRDefault="00E944F0" w:rsidP="00E944F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6F8A67F" w14:textId="77777777" w:rsidR="00E944F0" w:rsidRDefault="00E944F0" w:rsidP="00E944F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F0516EE" w14:textId="77777777" w:rsidR="00E944F0" w:rsidRDefault="00E944F0" w:rsidP="00E944F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F6DFC21" w14:textId="77777777" w:rsidR="00E944F0" w:rsidRDefault="00E944F0" w:rsidP="00E944F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67D3098" w14:textId="77777777" w:rsidR="00E944F0" w:rsidRDefault="00E944F0" w:rsidP="00E944F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96FB26F" w14:textId="77777777" w:rsidR="00E944F0" w:rsidRDefault="00E944F0" w:rsidP="00E944F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C2F5169" w14:textId="77777777" w:rsidR="00E944F0" w:rsidRDefault="00E944F0" w:rsidP="00E944F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4B70BEA" w14:textId="77777777" w:rsidR="00E944F0" w:rsidRDefault="00E944F0" w:rsidP="00E944F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236B1E1" w14:textId="77777777" w:rsidR="00E944F0" w:rsidRDefault="00E944F0" w:rsidP="00E944F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0F1C7CA" w14:textId="77777777" w:rsidR="00E944F0" w:rsidRDefault="00E944F0" w:rsidP="00E944F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14F02B0" w14:textId="77777777" w:rsidR="001F180A" w:rsidRDefault="001F180A" w:rsidP="00E944F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6C16FD4" w14:textId="77777777" w:rsidR="001F180A" w:rsidRDefault="001F180A" w:rsidP="00E944F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5DE44ED" w14:textId="77777777" w:rsidR="001F180A" w:rsidRDefault="001F180A" w:rsidP="00E944F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DC45AFD" w14:textId="77777777" w:rsidR="00E944F0" w:rsidRDefault="00E944F0" w:rsidP="00E944F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C680A92" w14:textId="77777777" w:rsidR="00E944F0" w:rsidRDefault="00E944F0" w:rsidP="00E944F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E6A5769" w14:textId="77777777" w:rsidR="00E944F0" w:rsidRPr="00396809" w:rsidRDefault="00E944F0" w:rsidP="00E944F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E944F0" w:rsidRPr="00396809" w14:paraId="114B3F75" w14:textId="77777777" w:rsidTr="00F53593">
        <w:tc>
          <w:tcPr>
            <w:tcW w:w="468" w:type="dxa"/>
          </w:tcPr>
          <w:p w14:paraId="40A81EDA" w14:textId="77777777" w:rsidR="00E944F0" w:rsidRPr="00396809" w:rsidRDefault="00E944F0" w:rsidP="00F5359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0CB46485" w14:textId="77777777" w:rsidR="00E944F0" w:rsidRPr="00396809" w:rsidRDefault="00E944F0" w:rsidP="00F5359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396809">
              <w:rPr>
                <w:rFonts w:eastAsia="Calibri"/>
                <w:lang w:val="en-US"/>
              </w:rPr>
              <w:t>consilieri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locali</w:t>
            </w:r>
            <w:proofErr w:type="spellEnd"/>
          </w:p>
        </w:tc>
        <w:tc>
          <w:tcPr>
            <w:tcW w:w="1980" w:type="dxa"/>
          </w:tcPr>
          <w:p w14:paraId="7F80F530" w14:textId="77777777" w:rsidR="00E944F0" w:rsidRPr="00396809" w:rsidRDefault="00E944F0" w:rsidP="00F5359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19</w:t>
            </w:r>
          </w:p>
        </w:tc>
      </w:tr>
      <w:tr w:rsidR="00E944F0" w:rsidRPr="00396809" w14:paraId="7AA11F17" w14:textId="77777777" w:rsidTr="00F53593">
        <w:trPr>
          <w:trHeight w:val="188"/>
        </w:trPr>
        <w:tc>
          <w:tcPr>
            <w:tcW w:w="468" w:type="dxa"/>
          </w:tcPr>
          <w:p w14:paraId="0ECE194A" w14:textId="77777777" w:rsidR="00E944F0" w:rsidRPr="00396809" w:rsidRDefault="00E944F0" w:rsidP="00F5359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13ACDEB0" w14:textId="77777777" w:rsidR="00E944F0" w:rsidRPr="00396809" w:rsidRDefault="00E944F0" w:rsidP="00F5359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396809">
              <w:rPr>
                <w:rFonts w:eastAsia="Calibri"/>
                <w:lang w:val="en-US"/>
              </w:rPr>
              <w:t>consilieri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prezenți</w:t>
            </w:r>
            <w:proofErr w:type="spellEnd"/>
          </w:p>
        </w:tc>
        <w:tc>
          <w:tcPr>
            <w:tcW w:w="1980" w:type="dxa"/>
          </w:tcPr>
          <w:p w14:paraId="69E7BF41" w14:textId="2D4B439D" w:rsidR="00E944F0" w:rsidRPr="00396809" w:rsidRDefault="001F180A" w:rsidP="00F5359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E944F0" w:rsidRPr="00396809" w14:paraId="028740BC" w14:textId="77777777" w:rsidTr="00F53593">
        <w:tc>
          <w:tcPr>
            <w:tcW w:w="468" w:type="dxa"/>
          </w:tcPr>
          <w:p w14:paraId="1232A693" w14:textId="77777777" w:rsidR="00E944F0" w:rsidRPr="00396809" w:rsidRDefault="00E944F0" w:rsidP="00F5359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3C2D1A90" w14:textId="77777777" w:rsidR="00E944F0" w:rsidRPr="00396809" w:rsidRDefault="00E944F0" w:rsidP="00F53593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Număr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voturi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pentru</w:t>
            </w:r>
            <w:proofErr w:type="spellEnd"/>
          </w:p>
        </w:tc>
        <w:tc>
          <w:tcPr>
            <w:tcW w:w="1980" w:type="dxa"/>
          </w:tcPr>
          <w:p w14:paraId="2960D2E4" w14:textId="47E67094" w:rsidR="00E944F0" w:rsidRPr="00396809" w:rsidRDefault="001F180A" w:rsidP="00F5359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E944F0" w:rsidRPr="00396809" w14:paraId="06E852F9" w14:textId="77777777" w:rsidTr="00F53593">
        <w:tc>
          <w:tcPr>
            <w:tcW w:w="468" w:type="dxa"/>
          </w:tcPr>
          <w:p w14:paraId="19CB1FDA" w14:textId="77777777" w:rsidR="00E944F0" w:rsidRPr="00396809" w:rsidRDefault="00E944F0" w:rsidP="00F5359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2091A07A" w14:textId="77777777" w:rsidR="00E944F0" w:rsidRPr="00396809" w:rsidRDefault="00E944F0" w:rsidP="00F53593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Număr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voturi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împotrivă</w:t>
            </w:r>
            <w:proofErr w:type="spellEnd"/>
          </w:p>
        </w:tc>
        <w:tc>
          <w:tcPr>
            <w:tcW w:w="1980" w:type="dxa"/>
          </w:tcPr>
          <w:p w14:paraId="0DC62E3B" w14:textId="77777777" w:rsidR="00E944F0" w:rsidRPr="00396809" w:rsidRDefault="00E944F0" w:rsidP="00F5359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E944F0" w:rsidRPr="00396809" w14:paraId="5D19CBD9" w14:textId="77777777" w:rsidTr="00F53593">
        <w:tc>
          <w:tcPr>
            <w:tcW w:w="468" w:type="dxa"/>
          </w:tcPr>
          <w:p w14:paraId="19C3BD27" w14:textId="77777777" w:rsidR="00E944F0" w:rsidRPr="00396809" w:rsidRDefault="00E944F0" w:rsidP="00F5359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053C3878" w14:textId="77777777" w:rsidR="00E944F0" w:rsidRPr="00396809" w:rsidRDefault="00E944F0" w:rsidP="00F53593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Abțineri</w:t>
            </w:r>
            <w:proofErr w:type="spellEnd"/>
          </w:p>
        </w:tc>
        <w:tc>
          <w:tcPr>
            <w:tcW w:w="1980" w:type="dxa"/>
          </w:tcPr>
          <w:p w14:paraId="724F0904" w14:textId="77777777" w:rsidR="00E944F0" w:rsidRPr="00396809" w:rsidRDefault="00E944F0" w:rsidP="00F5359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E944F0" w:rsidRPr="00396809" w14:paraId="7455843C" w14:textId="77777777" w:rsidTr="00F53593">
        <w:trPr>
          <w:trHeight w:val="312"/>
        </w:trPr>
        <w:tc>
          <w:tcPr>
            <w:tcW w:w="468" w:type="dxa"/>
          </w:tcPr>
          <w:p w14:paraId="41AE252A" w14:textId="77777777" w:rsidR="00E944F0" w:rsidRPr="00396809" w:rsidRDefault="00E944F0" w:rsidP="00F53593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50D49439" w14:textId="77777777" w:rsidR="00E944F0" w:rsidRPr="00396809" w:rsidRDefault="00E944F0" w:rsidP="00F53593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Adoptarea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hotărârii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s-a </w:t>
            </w:r>
            <w:proofErr w:type="spellStart"/>
            <w:r w:rsidRPr="00396809">
              <w:rPr>
                <w:rFonts w:eastAsia="Calibri"/>
                <w:lang w:val="en-US"/>
              </w:rPr>
              <w:t>făcut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cu</w:t>
            </w:r>
          </w:p>
        </w:tc>
        <w:tc>
          <w:tcPr>
            <w:tcW w:w="1980" w:type="dxa"/>
          </w:tcPr>
          <w:p w14:paraId="064731FE" w14:textId="31ACBF0F" w:rsidR="00E944F0" w:rsidRPr="00396809" w:rsidRDefault="00E944F0" w:rsidP="00F53593">
            <w:pPr>
              <w:jc w:val="center"/>
              <w:rPr>
                <w:rFonts w:eastAsia="Calibri"/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m</w:t>
            </w:r>
            <w:r w:rsidRPr="00396809">
              <w:rPr>
                <w:rFonts w:eastAsia="Calibri"/>
                <w:lang w:val="en-US"/>
              </w:rPr>
              <w:t>ajoritate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calificată</w:t>
            </w:r>
            <w:proofErr w:type="spellEnd"/>
          </w:p>
        </w:tc>
      </w:tr>
    </w:tbl>
    <w:p w14:paraId="5EE4DA7D" w14:textId="77777777" w:rsidR="00E944F0" w:rsidRDefault="00E944F0"/>
    <w:sectPr w:rsidR="00E944F0" w:rsidSect="001F180A">
      <w:pgSz w:w="11906" w:h="16838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F0"/>
    <w:rsid w:val="001F180A"/>
    <w:rsid w:val="002457D7"/>
    <w:rsid w:val="00371CD5"/>
    <w:rsid w:val="00AF216A"/>
    <w:rsid w:val="00E944F0"/>
    <w:rsid w:val="00F856D5"/>
    <w:rsid w:val="00FD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B9EFF"/>
  <w15:chartTrackingRefBased/>
  <w15:docId w15:val="{C0657DB3-4D57-4963-B4C0-F746CD56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4F0"/>
  </w:style>
  <w:style w:type="paragraph" w:styleId="Heading1">
    <w:name w:val="heading 1"/>
    <w:basedOn w:val="Normal"/>
    <w:next w:val="Normal"/>
    <w:link w:val="Heading1Char"/>
    <w:uiPriority w:val="9"/>
    <w:qFormat/>
    <w:rsid w:val="00E94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4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4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4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4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4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4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4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4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4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4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4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4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4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4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44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44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44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4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44F0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E944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94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2</cp:revision>
  <cp:lastPrinted>2024-12-23T12:11:00Z</cp:lastPrinted>
  <dcterms:created xsi:type="dcterms:W3CDTF">2025-01-09T12:21:00Z</dcterms:created>
  <dcterms:modified xsi:type="dcterms:W3CDTF">2025-01-09T12:21:00Z</dcterms:modified>
</cp:coreProperties>
</file>