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9E12" w14:textId="79D0EE89" w:rsidR="009337F1" w:rsidRPr="009337F1" w:rsidRDefault="009337F1" w:rsidP="009337F1">
      <w:pPr>
        <w:widowControl w:val="0"/>
        <w:suppressAutoHyphens/>
        <w:autoSpaceDN w:val="0"/>
        <w:spacing w:after="0" w:line="240" w:lineRule="auto"/>
        <w:ind w:left="1191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   </w:t>
      </w:r>
      <w:r w:rsidRPr="009337F1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ROMÂNIA</w:t>
      </w:r>
    </w:p>
    <w:p w14:paraId="353ADEAC" w14:textId="27E85251" w:rsidR="009337F1" w:rsidRPr="009337F1" w:rsidRDefault="009337F1" w:rsidP="009337F1">
      <w:pPr>
        <w:widowControl w:val="0"/>
        <w:suppressAutoHyphens/>
        <w:autoSpaceDN w:val="0"/>
        <w:spacing w:after="0" w:line="240" w:lineRule="auto"/>
        <w:ind w:left="964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  </w:t>
      </w:r>
      <w:r w:rsidRPr="009337F1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JUDEȚUL TIMIȘ</w:t>
      </w:r>
    </w:p>
    <w:p w14:paraId="2E7D46ED" w14:textId="77777777" w:rsidR="009337F1" w:rsidRPr="009337F1" w:rsidRDefault="009337F1" w:rsidP="009337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9337F1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CONSILIUL LOCAL AL MUNICIPIULUI LUGOJ</w:t>
      </w:r>
    </w:p>
    <w:p w14:paraId="1716AECB" w14:textId="77777777" w:rsidR="009337F1" w:rsidRPr="009337F1" w:rsidRDefault="009337F1" w:rsidP="009337F1">
      <w:pPr>
        <w:widowControl w:val="0"/>
        <w:suppressAutoHyphens/>
        <w:autoSpaceDN w:val="0"/>
        <w:spacing w:after="0" w:line="240" w:lineRule="auto"/>
        <w:ind w:left="1191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</w:p>
    <w:p w14:paraId="5C3C5A2A" w14:textId="77777777" w:rsidR="009337F1" w:rsidRPr="009337F1" w:rsidRDefault="009337F1" w:rsidP="009337F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  <w:t>HOTĂRÂREA</w:t>
      </w:r>
    </w:p>
    <w:p w14:paraId="125BF4D9" w14:textId="77777777" w:rsidR="009337F1" w:rsidRPr="009337F1" w:rsidRDefault="009337F1" w:rsidP="009337F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 xml:space="preserve">privind exprimarea acordului pentru dezlipirea unui imobil - teren, </w:t>
      </w:r>
      <w:r w:rsidRPr="009337F1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o-RO" w:eastAsia="zh-CN"/>
          <w14:ligatures w14:val="none"/>
        </w:rPr>
        <w:t>situat în intravilanul Municipiului Lugoj</w:t>
      </w:r>
      <w:r w:rsidRPr="009337F1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, înscris în C.F. nr. 412531 Lugoj (nr. C.F. vechi: 3629 LG), nr. top. 408/a/1/1/b</w:t>
      </w:r>
    </w:p>
    <w:p w14:paraId="6CCCD869" w14:textId="77777777" w:rsidR="009337F1" w:rsidRPr="009337F1" w:rsidRDefault="009337F1" w:rsidP="009337F1">
      <w:pPr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</w:p>
    <w:p w14:paraId="09971B1A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Consiliul local al Municipiului Lugoj;</w:t>
      </w:r>
    </w:p>
    <w:p w14:paraId="04B996F7" w14:textId="77777777" w:rsid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Având în vedere referatul nr. 16/18234/(RU)18235 din 23.02.2024 al Primarului interimar al Municipiului Lugoj - inițiator al Proiectului de hotărâre;</w:t>
      </w:r>
      <w:bookmarkStart w:id="0" w:name="_Hlk139870664"/>
      <w:bookmarkStart w:id="1" w:name="_Hlk139869716"/>
    </w:p>
    <w:p w14:paraId="2BF613FD" w14:textId="25D558BA" w:rsidR="009337F1" w:rsidRPr="00BD1E9B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BD1E9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39 din 23.02.2024 </w:t>
      </w:r>
      <w:r w:rsidRPr="00BD1E9B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privind exprimarea acordului pentru dezlipirea unui imobil - teren, situat în intravilanul Municipiului Lugoj, înscris în C.F. nr. 412531 Lugoj (nr. C.F. vechi: 3629 LG), nr. top. 408/a/1/1/b;</w:t>
      </w:r>
    </w:p>
    <w:p w14:paraId="637F156B" w14:textId="56738C64" w:rsidR="009337F1" w:rsidRPr="00BD1E9B" w:rsidRDefault="009337F1" w:rsidP="0093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BD1E9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Luând în considerare raportul de specialitate nr. 16/20573/(RU)20574 din 29.02.2024 întocmit de Direcția </w:t>
      </w:r>
      <w:bookmarkEnd w:id="0"/>
      <w:bookmarkEnd w:id="1"/>
      <w:r w:rsidRPr="00BD1E9B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urbanism-patrimoniu;</w:t>
      </w:r>
    </w:p>
    <w:p w14:paraId="69515E45" w14:textId="7E6A6204" w:rsidR="009337F1" w:rsidRPr="00BD1E9B" w:rsidRDefault="009337F1" w:rsidP="009337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2" w:name="_Hlk152137796"/>
      <w:proofErr w:type="spellStart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Luând</w:t>
      </w:r>
      <w:proofErr w:type="spellEnd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considerare</w:t>
      </w:r>
      <w:proofErr w:type="spellEnd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avizul</w:t>
      </w:r>
      <w:proofErr w:type="spellEnd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nr.</w:t>
      </w:r>
      <w:r w:rsidR="006E43B2"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29</w:t>
      </w:r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din </w:t>
      </w:r>
      <w:r w:rsidR="006E43B2"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28</w:t>
      </w:r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.03.2024 al </w:t>
      </w:r>
      <w:proofErr w:type="spellStart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Comisiei</w:t>
      </w:r>
      <w:proofErr w:type="spellEnd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amenajarea</w:t>
      </w:r>
      <w:proofErr w:type="spellEnd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teritoriului</w:t>
      </w:r>
      <w:proofErr w:type="spellEnd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administrarea</w:t>
      </w:r>
      <w:proofErr w:type="spellEnd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patrimoniului</w:t>
      </w:r>
      <w:proofErr w:type="spellEnd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urbanism, </w:t>
      </w:r>
      <w:proofErr w:type="spellStart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protecția</w:t>
      </w:r>
      <w:proofErr w:type="spellEnd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mediului</w:t>
      </w:r>
      <w:proofErr w:type="spellEnd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celorlalte</w:t>
      </w:r>
      <w:proofErr w:type="spellEnd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Comisii</w:t>
      </w:r>
      <w:proofErr w:type="spellEnd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specialitate</w:t>
      </w:r>
      <w:proofErr w:type="spellEnd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Consiliului</w:t>
      </w:r>
      <w:proofErr w:type="spellEnd"/>
      <w:r w:rsidRPr="00BD1E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Local al Municipiului Lugoj;</w:t>
      </w:r>
      <w:bookmarkEnd w:id="2"/>
    </w:p>
    <w:p w14:paraId="1FEDB658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Luînd în considerare referatul Direcției urbanism-patrimoniu – Compartimentul urbanism și amenajarea teritoriului nr. 16/18174/(RU)18175 din 23.02.2024;</w:t>
      </w:r>
    </w:p>
    <w:p w14:paraId="7D7908C9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Luând în considerare</w:t>
      </w:r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 xml:space="preserve"> Planul de amplasament și delimitare a imobilului cu propunere de dezlipire, întocmit de VIC-TOPO S.R.L.,</w:t>
      </w: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înregistrat în evidențele instituției noastre sub nr. 16/17918/(RU)18031 din 23.02.2024;</w:t>
      </w:r>
    </w:p>
    <w:p w14:paraId="2752F76A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conformitate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cu art. 4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(1)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6 din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Legea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nr. 18/1991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privind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fondul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funciar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republicată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cu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modificările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completările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ulterioare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;</w:t>
      </w:r>
    </w:p>
    <w:p w14:paraId="34EA62AB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Luând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considerare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art. 1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. (4), art. 24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. (1)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şi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(3), </w:t>
      </w:r>
      <w:r w:rsidRPr="009337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art. 25 </w:t>
      </w:r>
      <w:proofErr w:type="spellStart"/>
      <w:r w:rsidRPr="009337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alin</w:t>
      </w:r>
      <w:proofErr w:type="spellEnd"/>
      <w:r w:rsidRPr="009337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(2)</w:t>
      </w:r>
      <w:r w:rsidRPr="009337F1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art. 27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. (1), </w:t>
      </w:r>
      <w:r w:rsidRPr="009337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art. 40 </w:t>
      </w:r>
      <w:proofErr w:type="spellStart"/>
      <w:r w:rsidRPr="009337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alin</w:t>
      </w:r>
      <w:proofErr w:type="spellEnd"/>
      <w:r w:rsidRPr="009337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(3) </w:t>
      </w:r>
      <w:proofErr w:type="spellStart"/>
      <w:r w:rsidRPr="009337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9337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art. 41 </w:t>
      </w:r>
      <w:proofErr w:type="spellStart"/>
      <w:r w:rsidRPr="009337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alin</w:t>
      </w:r>
      <w:proofErr w:type="spellEnd"/>
      <w:r w:rsidRPr="009337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(5</w:t>
      </w:r>
      <w:r w:rsidRPr="009337F1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  <w:r w:rsidRPr="009337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  <w:r w:rsidRPr="009337F1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din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Legea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nr. 7/1996 a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cadastrului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şi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publicităţii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imobiliare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,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republicată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, cu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modificările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şi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completările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ulterioare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;</w:t>
      </w:r>
    </w:p>
    <w:p w14:paraId="1ED806B3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Văzând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prevederile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art. 18 lit. e), art. 67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. (1), art. 127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. (1), art. 129, art. 130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. (1) lit. a)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 art. 153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. (4) din 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Regulamentul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recepţie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înscriere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evidenţele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cadastru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carte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funciară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, 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aprobat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prin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Ordinul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nr. 600/2023 al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directorului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general al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Agenției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Naționale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Cadastru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Publicitate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Imobiliară</w:t>
      </w:r>
      <w:proofErr w:type="spellEnd"/>
      <w:r w:rsidRPr="009337F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;</w:t>
      </w:r>
    </w:p>
    <w:p w14:paraId="6085CCEE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Având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vedere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dispozițiile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art. 555 </w:t>
      </w:r>
      <w:proofErr w:type="spellStart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art. 888 din </w:t>
      </w: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Legea nr. 287/2009 privind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Codul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Civil,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republicat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ă</w:t>
      </w: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</w:t>
      </w: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cu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modific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ările</w:t>
      </w: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complet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ările ulterioare</w:t>
      </w: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;</w:t>
      </w:r>
    </w:p>
    <w:p w14:paraId="0813A061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conformitate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cu art. 87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(5), art. 129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(2) lit. c), art. 136, art. 139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(3) lit. g)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354 din O.U.G. nr. 57/2019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privind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Codul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administrativ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cu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modificările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completările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ulterioare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; </w:t>
      </w:r>
    </w:p>
    <w:p w14:paraId="73FC5B83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temeiul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dispoziţiilor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196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(1) lit. a)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şi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243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.</w:t>
      </w: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(1) lit. a) din O.U.G. nr. 57/2019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privind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Codul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administrativ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cu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modificările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completările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ulterioare</w:t>
      </w:r>
      <w:proofErr w:type="spellEnd"/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,</w:t>
      </w:r>
    </w:p>
    <w:p w14:paraId="334FAC39" w14:textId="77777777" w:rsidR="009337F1" w:rsidRPr="009337F1" w:rsidRDefault="009337F1" w:rsidP="009337F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</w:p>
    <w:p w14:paraId="128ED576" w14:textId="77777777" w:rsidR="009337F1" w:rsidRPr="009337F1" w:rsidRDefault="009337F1" w:rsidP="009337F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H O T Ă R Ă Ș T E :</w:t>
      </w:r>
    </w:p>
    <w:p w14:paraId="0C9FBFAD" w14:textId="77777777" w:rsidR="009337F1" w:rsidRPr="009337F1" w:rsidRDefault="009337F1" w:rsidP="009337F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</w:p>
    <w:p w14:paraId="6788FEFA" w14:textId="77777777" w:rsidR="009337F1" w:rsidRPr="009337F1" w:rsidRDefault="009337F1" w:rsidP="009337F1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ab/>
      </w:r>
      <w:r w:rsidRPr="009337F1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Art.1.</w:t>
      </w:r>
      <w:r w:rsidRPr="009337F1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 xml:space="preserve"> - </w:t>
      </w: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Se însușește</w:t>
      </w:r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 xml:space="preserve"> Planul de amplasament și delimitare a imobilului cu propunere de dezlipire, întocmit de VIC-TOPO S.R.L., anexă la prezenta hotărâre.</w:t>
      </w:r>
    </w:p>
    <w:p w14:paraId="0DAAA054" w14:textId="77777777" w:rsidR="009337F1" w:rsidRPr="009337F1" w:rsidRDefault="009337F1" w:rsidP="009337F1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o-RO" w:eastAsia="zh-CN"/>
          <w14:ligatures w14:val="none"/>
        </w:rPr>
        <w:tab/>
      </w:r>
      <w:r w:rsidRPr="009337F1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zh-CN"/>
          <w14:ligatures w14:val="none"/>
        </w:rPr>
        <w:t>Art.2.</w:t>
      </w:r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 xml:space="preserve"> - </w:t>
      </w: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Se atestă apartenența la domeniul privat al municipiului Lugoj a terenului situat în intravilanul municipiului Lugoj, în suprafață de 779 m.p., înscris în C.F. nr. 412531 Lugoj </w:t>
      </w: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(nr. C.F. vechi: 3629 LG), nr. top. 408/a/1/1/b.</w:t>
      </w:r>
    </w:p>
    <w:p w14:paraId="65D57262" w14:textId="77777777" w:rsidR="009337F1" w:rsidRPr="009337F1" w:rsidRDefault="009337F1" w:rsidP="009337F1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lastRenderedPageBreak/>
        <w:tab/>
      </w:r>
      <w:r w:rsidRPr="009337F1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Art.3.</w:t>
      </w: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Se exprimă acordul pentru dezlipirea imobilului - teren, în suprafață totală de 779 m.p., </w:t>
      </w:r>
      <w:r w:rsidRPr="009337F1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>situat în intravilanul Municipiului Lugoj, județul Timiș,</w:t>
      </w:r>
      <w:r w:rsidRPr="009337F1">
        <w:rPr>
          <w:rFonts w:ascii="Times New Roman" w:eastAsia="SimSun" w:hAnsi="Times New Roman" w:cs="Times New Roman"/>
          <w:color w:val="FF0000"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înscris în C.F. nr.</w:t>
      </w: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412531 Lugoj </w:t>
      </w: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(nr. C.F. vechi: 3629 LG), nr. top. 408/a/1/1/b, în două loturi distincte astfel:</w:t>
      </w:r>
    </w:p>
    <w:p w14:paraId="4891F876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1. LOT 1 - în suprafață de 519 m.p., teren intravilan neîmprejmuit, categoria de folosință - arabil;</w:t>
      </w:r>
    </w:p>
    <w:p w14:paraId="22F59F0F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2. LOT 2 - în suprafață de 260 m.p, teren intravilan neîmprejmuit, categoria de folosință - arabil.</w:t>
      </w:r>
    </w:p>
    <w:p w14:paraId="43E3D445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Art.4.</w:t>
      </w: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Îndeplinirea prevederilor prezentei hotărâri se încredințează Direcției urbanism-patrimoniu și Direcției buget-cheltuieli.</w:t>
      </w:r>
    </w:p>
    <w:p w14:paraId="16534265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Art.5.</w:t>
      </w: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Prezenta hotărâre se comunică:</w:t>
      </w:r>
    </w:p>
    <w:p w14:paraId="1326E2AD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Instituției Prefectului, Județul Timiș;</w:t>
      </w:r>
    </w:p>
    <w:p w14:paraId="55D2D359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Primarului interimar al Municipiului Lugoj;</w:t>
      </w:r>
    </w:p>
    <w:p w14:paraId="1402E8A2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administrație publică locală;</w:t>
      </w:r>
    </w:p>
    <w:p w14:paraId="4EA34686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urbanism-patrimoniu;</w:t>
      </w:r>
    </w:p>
    <w:p w14:paraId="68D55AF1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buget-cheltuieli;</w:t>
      </w:r>
    </w:p>
    <w:p w14:paraId="5C0ECEB4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Biroului de Cadastru și Publicitate Imobiliară;</w:t>
      </w:r>
    </w:p>
    <w:p w14:paraId="3F1CB299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S.C. VIC-TOPO S.R.L.;</w:t>
      </w:r>
    </w:p>
    <w:p w14:paraId="4AFC5DF0" w14:textId="77777777" w:rsidR="009337F1" w:rsidRPr="009337F1" w:rsidRDefault="009337F1" w:rsidP="009337F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337F1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Comisiilor de specialitate ale Consiliului Local.</w:t>
      </w:r>
    </w:p>
    <w:p w14:paraId="4EACAF88" w14:textId="77777777" w:rsidR="009337F1" w:rsidRPr="009337F1" w:rsidRDefault="009337F1" w:rsidP="009337F1">
      <w:pPr>
        <w:rPr>
          <w:rFonts w:ascii="Calibri" w:eastAsia="Calibri" w:hAnsi="Calibri" w:cs="Times New Roman"/>
          <w:kern w:val="0"/>
          <w14:ligatures w14:val="none"/>
        </w:rPr>
      </w:pPr>
    </w:p>
    <w:p w14:paraId="5E0DC26D" w14:textId="77777777" w:rsidR="00F856D5" w:rsidRDefault="00F856D5"/>
    <w:p w14:paraId="3BFCEB48" w14:textId="77777777" w:rsidR="009337F1" w:rsidRDefault="009337F1"/>
    <w:p w14:paraId="2B863DCD" w14:textId="77777777" w:rsidR="009337F1" w:rsidRPr="009337F1" w:rsidRDefault="009337F1" w:rsidP="009337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3" w:name="_Hlk139869561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57FDB192" w14:textId="77777777" w:rsidR="009337F1" w:rsidRPr="009337F1" w:rsidRDefault="009337F1" w:rsidP="009337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3A920E8C" w14:textId="624DFEB8" w:rsidR="009337F1" w:rsidRPr="009337F1" w:rsidRDefault="009337F1" w:rsidP="009337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  Dan Ciucu  </w:t>
      </w:r>
    </w:p>
    <w:p w14:paraId="1044E8E7" w14:textId="77777777" w:rsidR="009337F1" w:rsidRPr="009337F1" w:rsidRDefault="009337F1" w:rsidP="009337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EA7A9CE" w14:textId="77777777" w:rsidR="009337F1" w:rsidRDefault="009337F1" w:rsidP="009337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E78770F" w14:textId="77777777" w:rsidR="009337F1" w:rsidRDefault="009337F1" w:rsidP="009337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FCF0E2D" w14:textId="77777777" w:rsidR="009337F1" w:rsidRDefault="009337F1" w:rsidP="009337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7F13C66" w14:textId="77777777" w:rsidR="009337F1" w:rsidRDefault="009337F1" w:rsidP="009337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F15ABAD" w14:textId="77777777" w:rsidR="009337F1" w:rsidRDefault="009337F1" w:rsidP="009337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370BECD" w14:textId="77777777" w:rsidR="009337F1" w:rsidRDefault="009337F1" w:rsidP="009337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5AC1BC5" w14:textId="77777777" w:rsidR="00983F98" w:rsidRDefault="00983F98" w:rsidP="009337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DB3918F" w14:textId="77777777" w:rsidR="00983F98" w:rsidRPr="009337F1" w:rsidRDefault="00983F98" w:rsidP="009337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12A0D0B" w14:textId="0501CC41" w:rsidR="009337F1" w:rsidRDefault="009337F1" w:rsidP="009337F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9337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43 </w:t>
      </w:r>
      <w:r w:rsidRPr="009337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din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28.03.2024</w:t>
      </w:r>
    </w:p>
    <w:p w14:paraId="65B9EBD5" w14:textId="77777777" w:rsidR="009337F1" w:rsidRDefault="009337F1" w:rsidP="009337F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9C3DF57" w14:textId="77777777" w:rsidR="009337F1" w:rsidRDefault="009337F1" w:rsidP="009337F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FFE139A" w14:textId="77777777" w:rsidR="009337F1" w:rsidRDefault="009337F1" w:rsidP="009337F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39DDC0D" w14:textId="77777777" w:rsidR="009337F1" w:rsidRDefault="009337F1" w:rsidP="009337F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8AEAA2B" w14:textId="77777777" w:rsidR="009337F1" w:rsidRDefault="009337F1" w:rsidP="009337F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921B6F4" w14:textId="77777777" w:rsidR="009337F1" w:rsidRDefault="009337F1" w:rsidP="009337F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9B8F2F5" w14:textId="77777777" w:rsidR="009337F1" w:rsidRPr="009337F1" w:rsidRDefault="009337F1" w:rsidP="009337F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543243C" w14:textId="77777777" w:rsidR="009337F1" w:rsidRPr="009337F1" w:rsidRDefault="009337F1" w:rsidP="009337F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9337F1" w:rsidRPr="009337F1" w14:paraId="6F1234AC" w14:textId="77777777" w:rsidTr="00654F51">
        <w:tc>
          <w:tcPr>
            <w:tcW w:w="468" w:type="dxa"/>
          </w:tcPr>
          <w:p w14:paraId="7BD1BEFA" w14:textId="77777777" w:rsidR="009337F1" w:rsidRPr="009337F1" w:rsidRDefault="009337F1" w:rsidP="009337F1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38986AF7" w14:textId="77777777" w:rsidR="009337F1" w:rsidRPr="009337F1" w:rsidRDefault="009337F1" w:rsidP="009337F1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9337F1">
              <w:rPr>
                <w:rFonts w:eastAsia="Calibri"/>
                <w:lang w:val="en-US"/>
              </w:rPr>
              <w:t>consilieri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4A4C602B" w14:textId="77777777" w:rsidR="009337F1" w:rsidRPr="009337F1" w:rsidRDefault="009337F1" w:rsidP="009337F1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19</w:t>
            </w:r>
          </w:p>
        </w:tc>
      </w:tr>
      <w:tr w:rsidR="009337F1" w:rsidRPr="009337F1" w14:paraId="74F4284F" w14:textId="77777777" w:rsidTr="00654F51">
        <w:trPr>
          <w:trHeight w:val="188"/>
        </w:trPr>
        <w:tc>
          <w:tcPr>
            <w:tcW w:w="468" w:type="dxa"/>
          </w:tcPr>
          <w:p w14:paraId="287BAFA2" w14:textId="77777777" w:rsidR="009337F1" w:rsidRPr="009337F1" w:rsidRDefault="009337F1" w:rsidP="009337F1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2C0DAB26" w14:textId="77777777" w:rsidR="009337F1" w:rsidRPr="009337F1" w:rsidRDefault="009337F1" w:rsidP="009337F1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9337F1">
              <w:rPr>
                <w:rFonts w:eastAsia="Calibri"/>
                <w:lang w:val="en-US"/>
              </w:rPr>
              <w:t>consilieri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236BADB8" w14:textId="5D6B68AD" w:rsidR="009337F1" w:rsidRPr="009337F1" w:rsidRDefault="006E43B2" w:rsidP="009337F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</w:t>
            </w:r>
          </w:p>
        </w:tc>
      </w:tr>
      <w:tr w:rsidR="009337F1" w:rsidRPr="009337F1" w14:paraId="0F6DA6B5" w14:textId="77777777" w:rsidTr="00654F51">
        <w:tc>
          <w:tcPr>
            <w:tcW w:w="468" w:type="dxa"/>
          </w:tcPr>
          <w:p w14:paraId="55BB4EF1" w14:textId="77777777" w:rsidR="009337F1" w:rsidRPr="009337F1" w:rsidRDefault="009337F1" w:rsidP="009337F1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0DD0514A" w14:textId="77777777" w:rsidR="009337F1" w:rsidRPr="009337F1" w:rsidRDefault="009337F1" w:rsidP="009337F1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Număr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voturi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0BCB4047" w14:textId="79614937" w:rsidR="009337F1" w:rsidRPr="009337F1" w:rsidRDefault="006E43B2" w:rsidP="009337F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</w:t>
            </w:r>
          </w:p>
        </w:tc>
      </w:tr>
      <w:tr w:rsidR="009337F1" w:rsidRPr="009337F1" w14:paraId="2939BEEA" w14:textId="77777777" w:rsidTr="00654F51">
        <w:tc>
          <w:tcPr>
            <w:tcW w:w="468" w:type="dxa"/>
          </w:tcPr>
          <w:p w14:paraId="7CA12918" w14:textId="77777777" w:rsidR="009337F1" w:rsidRPr="009337F1" w:rsidRDefault="009337F1" w:rsidP="009337F1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4DB27887" w14:textId="77777777" w:rsidR="009337F1" w:rsidRPr="009337F1" w:rsidRDefault="009337F1" w:rsidP="009337F1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Număr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voturi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52C6A1CB" w14:textId="77777777" w:rsidR="009337F1" w:rsidRPr="009337F1" w:rsidRDefault="009337F1" w:rsidP="009337F1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-</w:t>
            </w:r>
          </w:p>
        </w:tc>
      </w:tr>
      <w:tr w:rsidR="009337F1" w:rsidRPr="009337F1" w14:paraId="6EBD4C13" w14:textId="77777777" w:rsidTr="00654F51">
        <w:tc>
          <w:tcPr>
            <w:tcW w:w="468" w:type="dxa"/>
          </w:tcPr>
          <w:p w14:paraId="275DEC81" w14:textId="77777777" w:rsidR="009337F1" w:rsidRPr="009337F1" w:rsidRDefault="009337F1" w:rsidP="009337F1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5946CE01" w14:textId="77777777" w:rsidR="009337F1" w:rsidRPr="009337F1" w:rsidRDefault="009337F1" w:rsidP="009337F1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0C59DE99" w14:textId="77777777" w:rsidR="009337F1" w:rsidRPr="009337F1" w:rsidRDefault="009337F1" w:rsidP="009337F1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-</w:t>
            </w:r>
          </w:p>
        </w:tc>
      </w:tr>
      <w:tr w:rsidR="009337F1" w:rsidRPr="009337F1" w14:paraId="2C34026E" w14:textId="77777777" w:rsidTr="00654F51">
        <w:trPr>
          <w:trHeight w:val="312"/>
        </w:trPr>
        <w:tc>
          <w:tcPr>
            <w:tcW w:w="468" w:type="dxa"/>
          </w:tcPr>
          <w:p w14:paraId="6F1C7374" w14:textId="77777777" w:rsidR="009337F1" w:rsidRPr="009337F1" w:rsidRDefault="009337F1" w:rsidP="009337F1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31862167" w14:textId="77777777" w:rsidR="009337F1" w:rsidRPr="009337F1" w:rsidRDefault="009337F1" w:rsidP="009337F1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Adoptarea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hotărârii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9337F1">
              <w:rPr>
                <w:rFonts w:eastAsia="Calibri"/>
                <w:lang w:val="en-US"/>
              </w:rPr>
              <w:t>făcut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01BC346E" w14:textId="77777777" w:rsidR="009337F1" w:rsidRPr="009337F1" w:rsidRDefault="009337F1" w:rsidP="009337F1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majoritate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absolută</w:t>
            </w:r>
            <w:proofErr w:type="spellEnd"/>
          </w:p>
        </w:tc>
      </w:tr>
      <w:bookmarkEnd w:id="3"/>
    </w:tbl>
    <w:p w14:paraId="1B8AB3C5" w14:textId="77777777" w:rsidR="009337F1" w:rsidRDefault="009337F1"/>
    <w:sectPr w:rsidR="009337F1" w:rsidSect="00B94C88">
      <w:pgSz w:w="11906" w:h="16838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F1"/>
    <w:rsid w:val="00295137"/>
    <w:rsid w:val="003A225C"/>
    <w:rsid w:val="006E43B2"/>
    <w:rsid w:val="009337F1"/>
    <w:rsid w:val="00983F98"/>
    <w:rsid w:val="00B94C88"/>
    <w:rsid w:val="00BD1E9B"/>
    <w:rsid w:val="00C2298C"/>
    <w:rsid w:val="00D5706A"/>
    <w:rsid w:val="00EA2C5D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BED0"/>
  <w15:chartTrackingRefBased/>
  <w15:docId w15:val="{AE045CE9-5277-41FC-8372-B95A7BA5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7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7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7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7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7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7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37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37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37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7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7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7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7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7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37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37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37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7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37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7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3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37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37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37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37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7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37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37F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9337F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5</cp:revision>
  <dcterms:created xsi:type="dcterms:W3CDTF">2024-03-25T09:37:00Z</dcterms:created>
  <dcterms:modified xsi:type="dcterms:W3CDTF">2024-04-02T06:39:00Z</dcterms:modified>
</cp:coreProperties>
</file>