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8092" w14:textId="77777777" w:rsidR="002A5AC4" w:rsidRPr="00432FF0" w:rsidRDefault="002A5AC4" w:rsidP="002A5AC4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32FF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ROMÂNIA</w:t>
      </w:r>
    </w:p>
    <w:p w14:paraId="30895C5F" w14:textId="77777777" w:rsidR="002A5AC4" w:rsidRPr="00432FF0" w:rsidRDefault="002A5AC4" w:rsidP="002A5A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32FF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JUDEŢUL TIMIŞ</w:t>
      </w:r>
    </w:p>
    <w:p w14:paraId="20A981C1" w14:textId="77777777" w:rsidR="002A5AC4" w:rsidRPr="00432FF0" w:rsidRDefault="002A5AC4" w:rsidP="002A5A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32FF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21E38967" w14:textId="77777777" w:rsidR="002A5AC4" w:rsidRPr="00432FF0" w:rsidRDefault="002A5AC4" w:rsidP="002A5A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11B086A" w14:textId="77777777" w:rsidR="002A5AC4" w:rsidRDefault="002A5AC4" w:rsidP="002A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ro-RO"/>
          <w14:ligatures w14:val="none"/>
        </w:rPr>
      </w:pPr>
      <w:r w:rsidRPr="00432FF0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751E95BC" w14:textId="77777777" w:rsidR="002A5AC4" w:rsidRPr="00432FF0" w:rsidRDefault="002A5AC4" w:rsidP="002A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ro-RO"/>
          <w14:ligatures w14:val="none"/>
        </w:rPr>
      </w:pPr>
      <w:r w:rsidRPr="00432FF0"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ro-RO" w:eastAsia="ro-RO"/>
          <w14:ligatures w14:val="none"/>
        </w:rPr>
        <w:t xml:space="preserve">privind aprobarea participării UAT Municipiul Lugoj </w:t>
      </w:r>
      <w:proofErr w:type="spellStart"/>
      <w:r w:rsidRPr="00432FF0"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432FF0"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32FF0"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432FF0"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en-US"/>
          <w14:ligatures w14:val="none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kern w:val="0"/>
          <w:sz w:val="24"/>
          <w:szCs w:val="24"/>
          <w:lang w:val="ro-RO"/>
          <w14:ligatures w14:val="none"/>
        </w:rPr>
        <w:t>„MODERNIZAREA REȚELEI DE BIBLIOTECI PENTRU A DEVENI HUB-URI DE DEZVOLTARE A COMPETENȚELOR DIGITALE, DIN CADRUL PLANULUI NAȚIONAL DE REDRESARE ȘI REZILIENȚĂ (PNRR) – HUB COMUNA BREZNIȚA-MOTRU, JUDEȚUL MEHEDINȚI”</w:t>
      </w:r>
    </w:p>
    <w:p w14:paraId="31633539" w14:textId="77777777" w:rsidR="002A5AC4" w:rsidRPr="00432FF0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</w:p>
    <w:p w14:paraId="45FDA326" w14:textId="77777777" w:rsidR="002A5AC4" w:rsidRPr="00432FF0" w:rsidRDefault="002A5AC4" w:rsidP="002A5A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 w:eastAsia="ro-RO"/>
          <w14:ligatures w14:val="none"/>
        </w:rPr>
        <w:tab/>
      </w:r>
      <w:r w:rsidRPr="00432FF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 w:eastAsia="ro-RO"/>
          <w14:ligatures w14:val="none"/>
        </w:rPr>
        <w:t>Consiliul Local al Municipiului Lugoj;</w:t>
      </w:r>
    </w:p>
    <w:p w14:paraId="25D55241" w14:textId="77777777" w:rsidR="002A5AC4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DE39F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DE39F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Luând în considerare Referatul nr. 16/40672/(RU)40673 din 22.04.2024 al Primarului interimar al Municipiului Lugoj - </w:t>
      </w:r>
      <w:r w:rsidRPr="00DE39F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inițiator al Proiectului de hotărâre;</w:t>
      </w:r>
    </w:p>
    <w:p w14:paraId="4DAC3076" w14:textId="3F3DBE6F" w:rsidR="002A5AC4" w:rsidRPr="0040626B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40626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74 din 22.04.2024 </w:t>
      </w:r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privind aprobarea participării UAT Municipiul Lugoj </w:t>
      </w:r>
      <w:proofErr w:type="spellStart"/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Proiectului</w:t>
      </w:r>
      <w:proofErr w:type="spellEnd"/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40626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„MODERNIZAREA REȚELEI DE BIBLIOTECI PENTRU A DEVENI HUB-URI DE DEZVOLTARE A COMPETENȚELOR DIGITALE, DIN CADRUL PLANULUI NAȚIONAL DE REDRESARE ȘI REZILIENȚĂ (PNRR) – HUB COMUNA BREZNIȚA-MOTRU, JUDEȚUL MEHEDINȚI”;</w:t>
      </w:r>
    </w:p>
    <w:p w14:paraId="61CC0E49" w14:textId="2D5E05F9" w:rsidR="002A5AC4" w:rsidRPr="0040626B" w:rsidRDefault="002A5AC4" w:rsidP="002A5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0626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16/41642/(RU)41643 din 23.04.2024 întocmit de Compartimentul relații cu instituții de învățământ, cultură, culte, sănătate;</w:t>
      </w:r>
    </w:p>
    <w:p w14:paraId="1CD3F742" w14:textId="61887841" w:rsidR="002A5AC4" w:rsidRPr="0040626B" w:rsidRDefault="002A5AC4" w:rsidP="002A5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0626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avizul nr. </w:t>
      </w:r>
      <w:r w:rsidR="00587E5A" w:rsidRPr="0040626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40</w:t>
      </w:r>
      <w:r w:rsidRPr="0040626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587E5A" w:rsidRPr="0040626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24</w:t>
      </w:r>
      <w:r w:rsidRPr="0040626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.04.2024 al Comisiei activități economico – financiare, agricultură, comerț, turism, activități social – culturale, tineret și sport  și a celorlalte Comisii de specialitate  ale Consiliului Local al Municipiului Lugoj; </w:t>
      </w:r>
    </w:p>
    <w:p w14:paraId="03DAA74C" w14:textId="77777777" w:rsidR="002A5AC4" w:rsidRPr="00033351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DE39F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Având în vedere referatul Bibliotecii Municipale Lugoj, înregistrat </w:t>
      </w:r>
      <w:r w:rsidRPr="0003335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 evidențele instituției noastre sub nr. 16/39819/(RU)39820 din 18.04.2024;</w:t>
      </w:r>
    </w:p>
    <w:p w14:paraId="7650D0D8" w14:textId="77777777" w:rsidR="002A5AC4" w:rsidRPr="008E5136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  <w:tab/>
      </w:r>
      <w:r w:rsidRPr="0003335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solicitarea Bibliotecii Județene Timiș „Sorin Titel”, înregistrată în evidențele instituției noastre sub nr. 16/36864 din 10.04.2024;</w:t>
      </w:r>
    </w:p>
    <w:p w14:paraId="1568DE31" w14:textId="77777777" w:rsidR="002A5AC4" w:rsidRDefault="002A5AC4" w:rsidP="002A5AC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ab/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În conformitate cu prevederile:</w:t>
      </w:r>
    </w:p>
    <w:p w14:paraId="7320AAAE" w14:textId="77777777" w:rsidR="002A5AC4" w:rsidRPr="00DC65B6" w:rsidRDefault="002A5AC4" w:rsidP="002A5AC4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</w:pPr>
      <w:r w:rsidRPr="00DC65B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>Regulamentului (UE) 2021/241 al Parlamentului European și al Consiliului din 12 februarie 2021 de instituire a Mecanismului de redresare și reziliență și a Deciziei de punere în aplicare a Consiliului din 3 noiembrie 2021 de aprobare a evaluării planului de redresare și reziliență al României;</w:t>
      </w:r>
    </w:p>
    <w:p w14:paraId="4740CDD8" w14:textId="77777777" w:rsidR="002A5AC4" w:rsidRPr="00DC65B6" w:rsidRDefault="002A5AC4" w:rsidP="002A5AC4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</w:pPr>
      <w:r w:rsidRPr="00DC65B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>Ghidului solicitantului privind Finanțarea bibliotecilor pentru a deveni hub-uri de dezvoltare a competențelor digitale, Componenta 7 Transformarea digitală, INVESTIȚIA I17. Scheme de finanțare pentru biblioteci pentru a deveni hub-uri de dezvoltare a competențelor digitale, aprobat prin Ordinul Ministrului Cercetării, Inovării și Digitalizării nr. 21791 din 09.12.2022;</w:t>
      </w:r>
    </w:p>
    <w:p w14:paraId="1C25C265" w14:textId="77777777" w:rsidR="002A5AC4" w:rsidRPr="00DC65B6" w:rsidRDefault="002A5AC4" w:rsidP="002A5AC4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</w:pPr>
      <w:r w:rsidRPr="00DC65B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>Ordonanței de urgență a Guvernului nr. 155/2020 privind unele măsuri pentru elaborarea Planului  rambursabile și nerambursabile în cadrul Mecanismului de redresare și reziliență;</w:t>
      </w:r>
    </w:p>
    <w:p w14:paraId="6F9F57E2" w14:textId="77777777" w:rsidR="002A5AC4" w:rsidRPr="00DC65B6" w:rsidRDefault="002A5AC4" w:rsidP="002A5AC4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</w:pPr>
      <w:r w:rsidRPr="00DC65B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>Ordonanței de urgență a Guvernului nr. 124/2021 privind stabilirea cadrului instituțional și financiar pentru gestionarea fondurilor europene alocate României prin Mecanismul de redresare și reziliență, precum și pentru modificarea și completarea Ordonanței de urgență a Guvernului nr. 155/2020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4EFB65F9" w14:textId="77777777" w:rsidR="002A5AC4" w:rsidRPr="00DC65B6" w:rsidRDefault="002A5AC4" w:rsidP="002A5AC4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</w:pPr>
      <w:r w:rsidRPr="00DC65B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>Hotărârii Guvernului nr. 209/2022 privind Normele metodologice de aplicare a prevederilor Ordonanței de urgență a Guvernului nr. 124/2021;</w:t>
      </w:r>
    </w:p>
    <w:p w14:paraId="1D83D874" w14:textId="77777777" w:rsidR="002A5AC4" w:rsidRPr="00DC65B6" w:rsidRDefault="002A5AC4" w:rsidP="002A5AC4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</w:pPr>
      <w:r w:rsidRPr="00DC65B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 xml:space="preserve">art. 44 alin. 1 din Legea nr. 273/2006 privind finanțele publice locale, cu modificările și completările ulterioare; </w:t>
      </w:r>
    </w:p>
    <w:p w14:paraId="66138932" w14:textId="77777777" w:rsidR="002A5AC4" w:rsidRDefault="002A5AC4" w:rsidP="002A5AC4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ab/>
        <w:t>R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>espectând prevederile Legii nr. 24/2000 privind normele de tehnică legislativă pentru elaborarea actelor normative, cu modificările și completările ulterioare.</w:t>
      </w:r>
    </w:p>
    <w:p w14:paraId="16831FB4" w14:textId="77777777" w:rsidR="002A5AC4" w:rsidRPr="0086225D" w:rsidRDefault="002A5AC4" w:rsidP="002A5AC4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en-GB" w:bidi="ro-RO"/>
          <w14:ligatures w14:val="none"/>
        </w:rPr>
        <w:tab/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În temeiul prevederilor art. 129 alin. (2) lit. 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b)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 și lit. d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)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, alin. 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(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7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)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 lit. a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)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 și lit. d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)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 și alin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.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(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9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)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 lit. a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) și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 art. 139 alin. 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(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3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 xml:space="preserve">) lit. f) </w:t>
      </w:r>
      <w:r w:rsidRPr="008E513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din Ordonanța de urgență a Guvernului nr. 57/2019 privind Codul administrativ, cu modificările și completările ulterioare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o-RO" w:eastAsia="ro-RO" w:bidi="ro-RO"/>
          <w14:ligatures w14:val="none"/>
        </w:rPr>
        <w:t>;</w:t>
      </w:r>
    </w:p>
    <w:p w14:paraId="3F63FC61" w14:textId="77777777" w:rsidR="002A5AC4" w:rsidRPr="00663C36" w:rsidRDefault="002A5AC4" w:rsidP="002A5AC4">
      <w:pPr>
        <w:spacing w:after="0"/>
        <w:ind w:firstLine="720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</w:pP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lastRenderedPageBreak/>
        <w:t>În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temeiul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art. 196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alin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. (1) lit. a)</w:t>
      </w:r>
      <w:r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</w:t>
      </w:r>
      <w:r w:rsidRPr="00432FF0">
        <w:rPr>
          <w:rFonts w:ascii="Times New Roman" w:eastAsia="Times New Roman" w:hAnsi="Times New Roman" w:cs="Times New Roman"/>
          <w:color w:val="0D0D0D"/>
          <w:sz w:val="24"/>
          <w:szCs w:val="20"/>
          <w:lang w:val="ro-RO" w:eastAsia="ro-RO"/>
        </w:rPr>
        <w:t xml:space="preserve">și art. 243 alin. (1) lit. a) </w:t>
      </w:r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din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Ordonanța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urgență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Guvernului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nr. 57/2019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Codul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administrativ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, cu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modificările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și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completările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ulterioare</w:t>
      </w:r>
      <w:proofErr w:type="spellEnd"/>
      <w:r w:rsidRPr="00432FF0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/>
        </w:rPr>
        <w:t>,</w:t>
      </w:r>
    </w:p>
    <w:p w14:paraId="79D5F3B8" w14:textId="77777777" w:rsidR="002A5AC4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</w:p>
    <w:p w14:paraId="1FF3DBEC" w14:textId="77777777" w:rsidR="002A5AC4" w:rsidRDefault="002A5AC4" w:rsidP="002A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 w:rsidRPr="00432F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6948ACCC" w14:textId="77777777" w:rsidR="002A5AC4" w:rsidRDefault="002A5AC4" w:rsidP="002A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</w:p>
    <w:p w14:paraId="2419F390" w14:textId="77777777" w:rsidR="002A5AC4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663C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– </w:t>
      </w:r>
      <w:r w:rsidRPr="00663C36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(1) Se aprobă depunerea proiectului </w:t>
      </w:r>
      <w:r w:rsidRPr="00663C36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 xml:space="preserve">„MODERNIZAREA REȚELEI DE BIBLIOTECI PENTRU A DEVENI HUB-URI DE DEZVOLTARE A COMPETENȚELOR DIGITALE, DIN CADRUL PLANULUI NAȚIONAL DE REDRESARE ȘI REZILIENȚĂ (PNRR) – HUB COMUNA BREZNIȚA-MOTRU, JUDEȚUL MEHEDINȚI”, în cadrul </w:t>
      </w: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>a</w:t>
      </w:r>
      <w:r w:rsidRPr="00663C36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 xml:space="preserve">pelului </w:t>
      </w: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 xml:space="preserve">de proiecte </w:t>
      </w:r>
      <w:r w:rsidRPr="00663C36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>PNRR/2022, Componenta 7 – Transformare digitală, Investiția I17 – Scheme de finanțare pentru biblioteci pentru a devenit hub-uri de dezvoltare a competențelor digital</w:t>
      </w: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>e, în parteneriat cu UAT-urile din județul Timiș.</w:t>
      </w:r>
    </w:p>
    <w:p w14:paraId="12A1B2E8" w14:textId="77777777" w:rsidR="002A5AC4" w:rsidRPr="00625ACE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6225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ab/>
      </w:r>
      <w:r w:rsidRPr="00625A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(2) Se aprobă modelul cadru al Acordului de parteneriat pentru implementarea proiectului „MODERNIZAREA REȚELEI DE BIBLIOTECI PENTRU A DEVENI HUB-URI DE DEZVOLTARE A COMPETENȚELOR DIGITALE, DIN CADRUL PLANULUI NAȚIONAL DE REDRESARE ȘI REZILIENȚĂ (PNRR) – HUB COMUNA BREZNIȚA-MOTRU, JUDEȚUL MEHEDINȚI”, între UAT comuna Breznița-Motru, județul Mehedinți, în calitate de lider de parteneriat și ceilalți membri ai parteneriatului, anexă la prezenta hotărâre. </w:t>
      </w:r>
    </w:p>
    <w:p w14:paraId="60592EB8" w14:textId="77777777" w:rsidR="002A5AC4" w:rsidRPr="00625ACE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ab/>
      </w:r>
      <w:r w:rsidRPr="00471E38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u w:val="single"/>
          <w:lang w:val="ro-RO"/>
          <w14:ligatures w14:val="none"/>
        </w:rPr>
        <w:t>Art.2.</w:t>
      </w: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 xml:space="preserve"> – Se aprobă valoarea eligibilă corespunzătoare UAT Municipiul Lugoj, în calitate de partener în cadrul proiectului, care este în sumă totală de 49.400,00 lei fără TVA, </w:t>
      </w:r>
      <w:r w:rsidRPr="00625A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la care se adaugă valoarea TVA aferentă cheltuielilor eligibile.</w:t>
      </w:r>
    </w:p>
    <w:p w14:paraId="58622AC6" w14:textId="77777777" w:rsidR="002A5AC4" w:rsidRPr="00432FF0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ab/>
      </w:r>
      <w:r w:rsidRPr="00637A0D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u w:val="single"/>
          <w:lang w:val="ro-RO"/>
          <w14:ligatures w14:val="none"/>
        </w:rPr>
        <w:t>Art.3.</w:t>
      </w: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ro-RO"/>
          <w14:ligatures w14:val="none"/>
        </w:rPr>
        <w:t xml:space="preserve"> – UAT Municipiul Lugoj, în calitate de partener, este direct responsabilă de realizarea activităților ce îi revin în cadrul proiectului și se obligă să asigure spațiile adecvate realizării activităților specifice.</w:t>
      </w:r>
    </w:p>
    <w:p w14:paraId="490FD747" w14:textId="77777777" w:rsidR="002A5AC4" w:rsidRPr="00432FF0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637A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Art.4.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– UAT Municipiul Lugoj, în calitate de partener, trebuie să mențină investiția realizată, pe o perioadă de 5 ani după finalizarea proiectului, asigurând mentenanța și serviciile asociate necesare.</w:t>
      </w:r>
    </w:p>
    <w:p w14:paraId="7FC2A777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</w:r>
      <w:r w:rsidRPr="00E5319A">
        <w:rPr>
          <w:rFonts w:ascii="Times New Roman" w:eastAsia="Times New Roman" w:hAnsi="Times New Roman" w:cs="Times New Roman"/>
          <w:b/>
          <w:bCs/>
          <w:color w:val="484848"/>
          <w:kern w:val="0"/>
          <w:sz w:val="24"/>
          <w:szCs w:val="24"/>
          <w:u w:val="single"/>
          <w:lang w:val="en-US"/>
          <w14:ligatures w14:val="none"/>
        </w:rPr>
        <w:t>Art.5.</w:t>
      </w: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– Se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împuternicește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Municipiului Lugoj,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să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semneze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în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numele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pentru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UAT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Lugoj,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acordul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parteneriat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/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pentru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depunerea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cererea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finanțare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toate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înscrisurile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pentru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depunerea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implementarea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.</w:t>
      </w:r>
    </w:p>
    <w:p w14:paraId="699F76EA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</w:r>
      <w:r w:rsidRPr="00E5319A">
        <w:rPr>
          <w:rFonts w:ascii="Times New Roman" w:eastAsia="Times New Roman" w:hAnsi="Times New Roman" w:cs="Times New Roman"/>
          <w:b/>
          <w:bCs/>
          <w:color w:val="484848"/>
          <w:kern w:val="0"/>
          <w:sz w:val="24"/>
          <w:szCs w:val="24"/>
          <w:u w:val="single"/>
          <w:lang w:val="en-US"/>
          <w14:ligatures w14:val="none"/>
        </w:rPr>
        <w:t>Art.6.</w:t>
      </w: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prezentei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hotărâri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încredințează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Primarului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Municipiului Lugoj.</w:t>
      </w:r>
    </w:p>
    <w:p w14:paraId="25A1E46C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</w:r>
      <w:r w:rsidRPr="00E5319A">
        <w:rPr>
          <w:rFonts w:ascii="Times New Roman" w:eastAsia="Times New Roman" w:hAnsi="Times New Roman" w:cs="Times New Roman"/>
          <w:b/>
          <w:bCs/>
          <w:color w:val="484848"/>
          <w:kern w:val="0"/>
          <w:sz w:val="24"/>
          <w:szCs w:val="24"/>
          <w:u w:val="single"/>
          <w:lang w:val="en-US"/>
          <w14:ligatures w14:val="none"/>
        </w:rPr>
        <w:t>Art.7.</w:t>
      </w: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Prezenta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:</w:t>
      </w:r>
    </w:p>
    <w:p w14:paraId="4EC4CEE9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Instituției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județul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Timiș;</w:t>
      </w:r>
      <w:proofErr w:type="gramEnd"/>
    </w:p>
    <w:p w14:paraId="6F42AC04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Primarului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interimar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al Municipiului </w:t>
      </w:r>
      <w:proofErr w:type="gram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Lugoj;</w:t>
      </w:r>
      <w:proofErr w:type="gramEnd"/>
    </w:p>
    <w:p w14:paraId="6BCDFA74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Direcției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administrație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locală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;</w:t>
      </w:r>
      <w:proofErr w:type="gramEnd"/>
    </w:p>
    <w:p w14:paraId="580E2EA6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Compartimentului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relații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instituții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învățământ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cultură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culte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sănătate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;</w:t>
      </w:r>
      <w:proofErr w:type="gramEnd"/>
    </w:p>
    <w:p w14:paraId="33206F8C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Bibliotecii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Municipale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Lugoj;</w:t>
      </w:r>
      <w:proofErr w:type="gramEnd"/>
    </w:p>
    <w:p w14:paraId="7E640E25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Ministerului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Muncii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Solidarității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Sociale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;</w:t>
      </w:r>
      <w:proofErr w:type="gramEnd"/>
    </w:p>
    <w:p w14:paraId="5F7F9BCC" w14:textId="77777777" w:rsidR="002A5AC4" w:rsidRDefault="002A5AC4" w:rsidP="002A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Comisiilor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specialitate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484848"/>
          <w:kern w:val="0"/>
          <w:sz w:val="24"/>
          <w:szCs w:val="24"/>
          <w:lang w:val="en-US"/>
          <w14:ligatures w14:val="none"/>
        </w:rPr>
        <w:t xml:space="preserve"> Local.</w:t>
      </w:r>
    </w:p>
    <w:p w14:paraId="317AEB02" w14:textId="77777777" w:rsidR="002A5AC4" w:rsidRDefault="002A5AC4"/>
    <w:p w14:paraId="48304A37" w14:textId="77777777" w:rsidR="002A5AC4" w:rsidRPr="00D56C8C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7F9BF03A" w14:textId="77777777" w:rsidR="002A5AC4" w:rsidRPr="00D56C8C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1C5BCF84" w14:textId="77777777" w:rsidR="002A5AC4" w:rsidRPr="00D56C8C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523ACF44" w14:textId="77777777" w:rsidR="002A5AC4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52E47A9" w14:textId="77777777" w:rsidR="002A5AC4" w:rsidRPr="00D56C8C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B7FDDB5" w14:textId="77777777" w:rsidR="002A5AC4" w:rsidRPr="00D56C8C" w:rsidRDefault="002A5AC4" w:rsidP="002A5A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3695541" w14:textId="4CF752E0" w:rsidR="002A5AC4" w:rsidRDefault="002A5AC4" w:rsidP="002A5AC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7</w:t>
      </w:r>
      <w:r w:rsidR="00B1235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1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29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4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p w14:paraId="7AF852AF" w14:textId="77777777" w:rsidR="002A5AC4" w:rsidRDefault="002A5AC4" w:rsidP="002A5AC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49111FD" w14:textId="77777777" w:rsidR="002A5AC4" w:rsidRPr="00D56C8C" w:rsidRDefault="002A5AC4" w:rsidP="002A5AC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2A5AC4" w:rsidRPr="00D56C8C" w14:paraId="110170FA" w14:textId="77777777" w:rsidTr="0043205F">
        <w:tc>
          <w:tcPr>
            <w:tcW w:w="468" w:type="dxa"/>
          </w:tcPr>
          <w:p w14:paraId="2C6BF15A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4416C663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38C5A2C0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19</w:t>
            </w:r>
          </w:p>
        </w:tc>
      </w:tr>
      <w:tr w:rsidR="002A5AC4" w:rsidRPr="00D56C8C" w14:paraId="46995448" w14:textId="77777777" w:rsidTr="0043205F">
        <w:trPr>
          <w:trHeight w:val="188"/>
        </w:trPr>
        <w:tc>
          <w:tcPr>
            <w:tcW w:w="468" w:type="dxa"/>
          </w:tcPr>
          <w:p w14:paraId="7F57D665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67C8EE01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225F8C62" w14:textId="437DC333" w:rsidR="002A5AC4" w:rsidRPr="00D56C8C" w:rsidRDefault="0040626B" w:rsidP="0043205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2A5AC4" w:rsidRPr="00D56C8C" w14:paraId="0C200675" w14:textId="77777777" w:rsidTr="0043205F">
        <w:tc>
          <w:tcPr>
            <w:tcW w:w="468" w:type="dxa"/>
          </w:tcPr>
          <w:p w14:paraId="03432F58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437BE6A2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034BC061" w14:textId="51E43293" w:rsidR="002A5AC4" w:rsidRPr="00D56C8C" w:rsidRDefault="0040626B" w:rsidP="0043205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2A5AC4" w:rsidRPr="00D56C8C" w14:paraId="0DD3BA52" w14:textId="77777777" w:rsidTr="0043205F">
        <w:tc>
          <w:tcPr>
            <w:tcW w:w="468" w:type="dxa"/>
          </w:tcPr>
          <w:p w14:paraId="43A47958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17CFF057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1F43F9D2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2A5AC4" w:rsidRPr="00D56C8C" w14:paraId="3E884B8B" w14:textId="77777777" w:rsidTr="0043205F">
        <w:tc>
          <w:tcPr>
            <w:tcW w:w="468" w:type="dxa"/>
          </w:tcPr>
          <w:p w14:paraId="0E9F84C7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18B5877C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071B5493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2A5AC4" w:rsidRPr="00D56C8C" w14:paraId="43AA58C0" w14:textId="77777777" w:rsidTr="0043205F">
        <w:trPr>
          <w:trHeight w:val="312"/>
        </w:trPr>
        <w:tc>
          <w:tcPr>
            <w:tcW w:w="468" w:type="dxa"/>
          </w:tcPr>
          <w:p w14:paraId="0DC6D98F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2094F00F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Adoptarea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hotărârii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D56C8C">
              <w:rPr>
                <w:rFonts w:eastAsia="Calibri"/>
                <w:lang w:val="en-US"/>
              </w:rPr>
              <w:t>făcut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0CCA3044" w14:textId="77777777" w:rsidR="002A5AC4" w:rsidRPr="00D56C8C" w:rsidRDefault="002A5AC4" w:rsidP="0043205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majoritate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0"/>
    </w:tbl>
    <w:p w14:paraId="4E1C398A" w14:textId="77777777" w:rsidR="002A5AC4" w:rsidRDefault="002A5AC4"/>
    <w:sectPr w:rsidR="002A5AC4" w:rsidSect="00C430D8">
      <w:pgSz w:w="11906" w:h="16838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7FFA"/>
    <w:multiLevelType w:val="hybridMultilevel"/>
    <w:tmpl w:val="D04695C8"/>
    <w:lvl w:ilvl="0" w:tplc="747409A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58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C4"/>
    <w:rsid w:val="002A5AC4"/>
    <w:rsid w:val="002E6392"/>
    <w:rsid w:val="0040626B"/>
    <w:rsid w:val="00587E5A"/>
    <w:rsid w:val="00B12359"/>
    <w:rsid w:val="00C430D8"/>
    <w:rsid w:val="00C948A1"/>
    <w:rsid w:val="00CE1F07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1A0B"/>
  <w15:chartTrackingRefBased/>
  <w15:docId w15:val="{AD581C20-4968-4F58-AC8B-E926433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4"/>
  </w:style>
  <w:style w:type="paragraph" w:styleId="Heading1">
    <w:name w:val="heading 1"/>
    <w:basedOn w:val="Normal"/>
    <w:next w:val="Normal"/>
    <w:link w:val="Heading1Char"/>
    <w:uiPriority w:val="9"/>
    <w:qFormat/>
    <w:rsid w:val="002A5A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A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A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A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A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A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A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A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A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A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A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A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A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A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A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A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A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5A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A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5A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5A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5A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5A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5A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A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A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5AC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2A5A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2024-04-25T06:42:00Z</dcterms:created>
  <dcterms:modified xsi:type="dcterms:W3CDTF">2024-04-29T10:12:00Z</dcterms:modified>
</cp:coreProperties>
</file>