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907F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ROMÂNIA</w:t>
      </w:r>
    </w:p>
    <w:p w14:paraId="7E8A2C47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     JUDEŢUL TIMIŞ</w:t>
      </w:r>
    </w:p>
    <w:p w14:paraId="15D19F53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CONSILIUL LOCAL AL MUNICIPIULUI LUGOJ</w:t>
      </w:r>
    </w:p>
    <w:p w14:paraId="25D9ECA0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</w:p>
    <w:p w14:paraId="345775D1" w14:textId="77777777" w:rsidR="0000298C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8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kern w:val="0"/>
          <w:sz w:val="28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kern w:val="0"/>
          <w:sz w:val="28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kern w:val="0"/>
          <w:sz w:val="28"/>
          <w:szCs w:val="20"/>
          <w:lang w:val="ro-RO" w:eastAsia="ro-RO"/>
          <w14:ligatures w14:val="none"/>
        </w:rPr>
        <w:tab/>
        <w:t xml:space="preserve">            </w:t>
      </w:r>
      <w:r w:rsidRPr="007A0E29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  <w:t>HOTĂRÂREA</w:t>
      </w:r>
    </w:p>
    <w:p w14:paraId="1A4F958A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privind aprobarea 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agendei acțiunilor culturale pentru luna ianuarie 2025 a </w:t>
      </w:r>
      <w:r w:rsidRPr="007A0E2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Cas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ei</w:t>
      </w:r>
      <w:r w:rsidRPr="007A0E2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de Cultură „Traian Grozăvescu” Lugoj</w:t>
      </w:r>
    </w:p>
    <w:p w14:paraId="7A2894F6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01E7ACAA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Consiliul Local al Municipiului Lugoj;</w:t>
      </w:r>
    </w:p>
    <w:p w14:paraId="60F8055C" w14:textId="77777777" w:rsidR="00164654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F40E3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16/130050/(RU)130051 </w:t>
      </w:r>
      <w:r w:rsidRPr="00F40E3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20</w:t>
      </w:r>
      <w:r w:rsidRPr="00F40E3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.12.2024 al Serviciului administrație locală-Compartimentul relații cu instituțiile de învățământ, culte, cultură, sănătate și sport;</w:t>
      </w:r>
    </w:p>
    <w:p w14:paraId="6B864AD0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730E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</w:t>
      </w:r>
      <w:r w:rsidR="000029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30048</w:t>
      </w:r>
      <w:r w:rsidR="0000298C" w:rsidRPr="00730E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</w:t>
      </w:r>
      <w:r w:rsidR="000029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U)130049</w:t>
      </w:r>
      <w:r w:rsidR="0000298C" w:rsidRPr="00730E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2</w:t>
      </w:r>
      <w:r w:rsidR="000029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0.</w:t>
      </w:r>
      <w:r w:rsidR="0000298C" w:rsidRPr="00730E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</w:t>
      </w:r>
      <w:r w:rsidR="000029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</w:t>
      </w:r>
      <w:r w:rsidR="0000298C" w:rsidRPr="00730E8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.2024 al Primarului Municipiului Lugoj - inițiator al proiectului de hotărâre;</w:t>
      </w:r>
    </w:p>
    <w:p w14:paraId="4EF39A44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164654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Proiectul de hotărâre nr. 268 din 20.12.2024 privind aprobarea agendei acțiunilor culturale pentru luna ianuarie 2025 a Casei de Cultură „Traian Grozăvescu” Lugoj;</w:t>
      </w:r>
    </w:p>
    <w:p w14:paraId="19A05338" w14:textId="77777777" w:rsidR="00164654" w:rsidRDefault="00164654" w:rsidP="001646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164654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raportul de specialitate nr. 16/130062/(RU)120063 din 20.12.2024 întocmit de Serviciul administrație locală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29F8503E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99115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Luând în considerare avizul nr.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28</w:t>
      </w:r>
      <w:r w:rsidRPr="0099115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din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3</w:t>
      </w:r>
      <w:r w:rsidRPr="0099115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.12.2024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39BAC628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 xml:space="preserve">Având în vedere </w:t>
      </w:r>
      <w:r w:rsidR="0000298C" w:rsidRPr="000426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 xml:space="preserve">adresa </w:t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 xml:space="preserve">Casei de Cultură „Traian Grozăvescu” Lugoj nr. </w:t>
      </w:r>
      <w:r w:rsidR="000029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3717</w:t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 xml:space="preserve"> din </w:t>
      </w:r>
      <w:r w:rsidR="000029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19</w:t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.</w:t>
      </w:r>
      <w:r w:rsidR="000029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12</w:t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.2024 înregistrată în evidențele instituției noastre sub nr. 16/</w:t>
      </w:r>
      <w:r w:rsidR="000029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129895/(RU)129896</w:t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 xml:space="preserve"> din </w:t>
      </w:r>
      <w:r w:rsidR="0000298C" w:rsidRPr="0004261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2</w:t>
      </w:r>
      <w:r w:rsidR="000029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0</w:t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.</w:t>
      </w:r>
      <w:r w:rsidR="000029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12</w:t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.2024;</w:t>
      </w:r>
    </w:p>
    <w:p w14:paraId="62379986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7A0E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 xml:space="preserve">Ținând cont de faptul că desfășurarea evenimentelor culturale în municipiul Lugoj s-a stabilit pentru </w:t>
      </w:r>
      <w:r w:rsidR="0000298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luna ianuarie 2025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  <w:lang w:val="ro-RO" w:eastAsia="ro-RO"/>
          <w14:ligatures w14:val="none"/>
        </w:rPr>
        <w:t>;</w:t>
      </w:r>
    </w:p>
    <w:p w14:paraId="51B7F1B3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20 și art. 21 alin. (1) lit. a) și b) din O.G. nr. 21/2007 privind instituţiile şi companiile de spectacole sau concerte, precum şi desfăşurarea activităţii de impresariat artistic, cu modificările și completările ulterioare</w:t>
      </w:r>
      <w:r w:rsidR="0000298C"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;</w:t>
      </w:r>
    </w:p>
    <w:p w14:paraId="0A6BA719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Având</w:t>
      </w:r>
      <w:proofErr w:type="spellEnd"/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 xml:space="preserve"> </w:t>
      </w:r>
      <w:proofErr w:type="spellStart"/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în</w:t>
      </w:r>
      <w:proofErr w:type="spellEnd"/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 xml:space="preserve"> </w:t>
      </w:r>
      <w:proofErr w:type="spellStart"/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vedere</w:t>
      </w:r>
      <w:proofErr w:type="spellEnd"/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 xml:space="preserve"> </w:t>
      </w:r>
      <w:proofErr w:type="spellStart"/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dispozițiile</w:t>
      </w:r>
      <w:proofErr w:type="spellEnd"/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 xml:space="preserve"> art.</w:t>
      </w:r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7 alin. (13) din Legea nr. 52</w:t>
      </w:r>
      <w:r w:rsidR="0000298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/</w:t>
      </w:r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2003 privind  transperența decizională în administrația publică, republicată</w:t>
      </w:r>
      <w:r w:rsidR="0000298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,</w:t>
      </w:r>
      <w:r w:rsidR="0000298C" w:rsidRPr="0004261B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cu modificările și completările ulterioare</w:t>
      </w:r>
      <w:r w:rsidR="0000298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79C2DC88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Conform prevederilor art. 1 alin. (2) lit. a), art. 19 alin. (1) lit. a), art. 41 și art. 68 din Legea nr. 273/2006 privind finanțele publice locale, cu modificările și completările ulterioare;</w:t>
      </w:r>
    </w:p>
    <w:p w14:paraId="4945455C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87, art. 129 alin. (2) lit. b) și d), alin. (4) lit. a), alin. (7) lit. d)</w:t>
      </w:r>
      <w:r w:rsidR="0000298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, </w:t>
      </w:r>
      <w:r w:rsidR="0000298C"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art. 136 </w:t>
      </w:r>
      <w:r w:rsidR="0000298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și </w:t>
      </w:r>
      <w:r w:rsidR="0000298C"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art. 139 alin. (3) lit. a)</w:t>
      </w:r>
      <w:r w:rsidR="0000298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="0000298C"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O.U.G. nr. 57/2019 privind Codul administrativ, cu modificările și completările ulterioare;</w:t>
      </w:r>
    </w:p>
    <w:p w14:paraId="323E749E" w14:textId="0182A641" w:rsidR="0000298C" w:rsidRP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="0000298C"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temeiul art. 196 alin. (1) lit. a) și art. 243 alin. (1) lit. a) din O.U.G.  nr. 57/2019 privind Codul administrativ, cu modificările și completările ulterioare,</w:t>
      </w:r>
    </w:p>
    <w:p w14:paraId="210CA65F" w14:textId="77777777" w:rsidR="0000298C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7D573D3C" w14:textId="77777777" w:rsidR="0000298C" w:rsidRDefault="0000298C" w:rsidP="0000298C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H O T Ă R Ă Ş T E  :</w:t>
      </w:r>
    </w:p>
    <w:p w14:paraId="16D525E1" w14:textId="77777777" w:rsidR="0000298C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Art.1.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- 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(1)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Se aprobă agenda manifestărilor culturale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pentru luna ianuarie 2025 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a Casei de Cultură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„Traian Grozăvescu” 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Lugoj,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după cum urmează:</w:t>
      </w:r>
    </w:p>
    <w:p w14:paraId="5C0FAE8C" w14:textId="77777777" w:rsidR="00164654" w:rsidRDefault="00164654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67"/>
        <w:gridCol w:w="2326"/>
        <w:gridCol w:w="2326"/>
      </w:tblGrid>
      <w:tr w:rsidR="0000298C" w14:paraId="4D572468" w14:textId="77777777" w:rsidTr="006B6360">
        <w:tc>
          <w:tcPr>
            <w:tcW w:w="985" w:type="dxa"/>
          </w:tcPr>
          <w:p w14:paraId="0A1ADE9E" w14:textId="77777777" w:rsidR="0000298C" w:rsidRDefault="0000298C" w:rsidP="006B6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  <w:t>Nr.crt.</w:t>
            </w:r>
          </w:p>
        </w:tc>
        <w:tc>
          <w:tcPr>
            <w:tcW w:w="3667" w:type="dxa"/>
          </w:tcPr>
          <w:p w14:paraId="43DAF784" w14:textId="77777777" w:rsidR="0000298C" w:rsidRDefault="0000298C" w:rsidP="006B6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  <w:t>Denumirea acțiunii culturale</w:t>
            </w:r>
          </w:p>
        </w:tc>
        <w:tc>
          <w:tcPr>
            <w:tcW w:w="2326" w:type="dxa"/>
          </w:tcPr>
          <w:p w14:paraId="42564B8F" w14:textId="77777777" w:rsidR="0000298C" w:rsidRDefault="0000298C" w:rsidP="006B6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  <w:t>Perioada organizării/data</w:t>
            </w:r>
          </w:p>
        </w:tc>
        <w:tc>
          <w:tcPr>
            <w:tcW w:w="2326" w:type="dxa"/>
          </w:tcPr>
          <w:p w14:paraId="039D872B" w14:textId="77777777" w:rsidR="0000298C" w:rsidRDefault="0000298C" w:rsidP="006B6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  <w:t>Suma necesară</w:t>
            </w:r>
          </w:p>
        </w:tc>
      </w:tr>
      <w:tr w:rsidR="0000298C" w14:paraId="6A1312BE" w14:textId="77777777" w:rsidTr="006B6360">
        <w:tc>
          <w:tcPr>
            <w:tcW w:w="985" w:type="dxa"/>
          </w:tcPr>
          <w:p w14:paraId="231C94EE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 w:rsidRPr="00F40E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1</w:t>
            </w:r>
          </w:p>
        </w:tc>
        <w:tc>
          <w:tcPr>
            <w:tcW w:w="3667" w:type="dxa"/>
          </w:tcPr>
          <w:p w14:paraId="1A8A3E90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„Amintiri și Speranță”</w:t>
            </w:r>
          </w:p>
        </w:tc>
        <w:tc>
          <w:tcPr>
            <w:tcW w:w="2326" w:type="dxa"/>
          </w:tcPr>
          <w:p w14:paraId="448ED475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04.01.2025</w:t>
            </w:r>
          </w:p>
        </w:tc>
        <w:tc>
          <w:tcPr>
            <w:tcW w:w="2326" w:type="dxa"/>
          </w:tcPr>
          <w:p w14:paraId="3679648C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100.000 lei</w:t>
            </w:r>
          </w:p>
        </w:tc>
      </w:tr>
      <w:tr w:rsidR="0000298C" w14:paraId="629B8321" w14:textId="77777777" w:rsidTr="006B6360">
        <w:tc>
          <w:tcPr>
            <w:tcW w:w="985" w:type="dxa"/>
          </w:tcPr>
          <w:p w14:paraId="78C2F297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 w:rsidRPr="00F40E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2</w:t>
            </w:r>
          </w:p>
        </w:tc>
        <w:tc>
          <w:tcPr>
            <w:tcW w:w="3667" w:type="dxa"/>
          </w:tcPr>
          <w:p w14:paraId="69E17673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„Zilele Eminesciene”</w:t>
            </w:r>
          </w:p>
        </w:tc>
        <w:tc>
          <w:tcPr>
            <w:tcW w:w="2326" w:type="dxa"/>
          </w:tcPr>
          <w:p w14:paraId="098A13B0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Ianuarie</w:t>
            </w:r>
          </w:p>
        </w:tc>
        <w:tc>
          <w:tcPr>
            <w:tcW w:w="2326" w:type="dxa"/>
          </w:tcPr>
          <w:p w14:paraId="11220EB9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5.000 lei</w:t>
            </w:r>
          </w:p>
        </w:tc>
      </w:tr>
      <w:tr w:rsidR="0000298C" w14:paraId="53167EC0" w14:textId="77777777" w:rsidTr="006B6360">
        <w:tc>
          <w:tcPr>
            <w:tcW w:w="985" w:type="dxa"/>
          </w:tcPr>
          <w:p w14:paraId="03028479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 w:rsidRPr="00F40E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3</w:t>
            </w:r>
          </w:p>
        </w:tc>
        <w:tc>
          <w:tcPr>
            <w:tcW w:w="3667" w:type="dxa"/>
          </w:tcPr>
          <w:p w14:paraId="12A0D6A0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„Hora Mică”</w:t>
            </w:r>
          </w:p>
        </w:tc>
        <w:tc>
          <w:tcPr>
            <w:tcW w:w="2326" w:type="dxa"/>
          </w:tcPr>
          <w:p w14:paraId="3F56623D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24.01.2025</w:t>
            </w:r>
          </w:p>
        </w:tc>
        <w:tc>
          <w:tcPr>
            <w:tcW w:w="2326" w:type="dxa"/>
          </w:tcPr>
          <w:p w14:paraId="70038BC9" w14:textId="77777777" w:rsidR="0000298C" w:rsidRPr="00F40E3E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val="ro-RO" w:eastAsia="ro-RO"/>
                <w14:ligatures w14:val="none"/>
              </w:rPr>
              <w:t>5.000 lei</w:t>
            </w:r>
          </w:p>
        </w:tc>
      </w:tr>
      <w:tr w:rsidR="0000298C" w14:paraId="28175E71" w14:textId="77777777" w:rsidTr="006B6360">
        <w:tc>
          <w:tcPr>
            <w:tcW w:w="985" w:type="dxa"/>
          </w:tcPr>
          <w:p w14:paraId="210978C6" w14:textId="77777777" w:rsidR="0000298C" w:rsidRDefault="0000298C" w:rsidP="006B6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</w:pPr>
          </w:p>
        </w:tc>
        <w:tc>
          <w:tcPr>
            <w:tcW w:w="3667" w:type="dxa"/>
          </w:tcPr>
          <w:p w14:paraId="036B026D" w14:textId="77777777" w:rsidR="0000298C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  <w:t>TOTAL</w:t>
            </w:r>
          </w:p>
        </w:tc>
        <w:tc>
          <w:tcPr>
            <w:tcW w:w="2326" w:type="dxa"/>
          </w:tcPr>
          <w:p w14:paraId="3B48AF71" w14:textId="77777777" w:rsidR="0000298C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</w:pPr>
          </w:p>
        </w:tc>
        <w:tc>
          <w:tcPr>
            <w:tcW w:w="2326" w:type="dxa"/>
          </w:tcPr>
          <w:p w14:paraId="6E7F6374" w14:textId="77777777" w:rsidR="0000298C" w:rsidRDefault="0000298C" w:rsidP="006B6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ro-RO" w:eastAsia="ro-RO"/>
                <w14:ligatures w14:val="none"/>
              </w:rPr>
              <w:t>110.000 lei</w:t>
            </w:r>
          </w:p>
        </w:tc>
      </w:tr>
    </w:tbl>
    <w:p w14:paraId="238ECDEC" w14:textId="77777777" w:rsidR="0000298C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387EAB67" w14:textId="77777777" w:rsidR="0000298C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lastRenderedPageBreak/>
        <w:tab/>
      </w:r>
      <w:r w:rsidRPr="007A0E29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(2) Justificarea şi decontarea cheltuielilor se vor realiza doar pe bază de acte doveditoare, conform legii.</w:t>
      </w:r>
    </w:p>
    <w:p w14:paraId="6E8271FF" w14:textId="77777777" w:rsidR="0000298C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Art.2.</w:t>
      </w:r>
      <w:r w:rsidRPr="007A0E2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- 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Îndeplinirea prevederilor prezentei hotărâri se încredinţează Casei de Cultură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„Traian Grozăvescu” 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Lugoj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</w:t>
      </w:r>
    </w:p>
    <w:p w14:paraId="1D5C2CD7" w14:textId="77777777" w:rsidR="0000298C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Art.3.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Prezenta hotărâre se comunică:</w:t>
      </w:r>
    </w:p>
    <w:p w14:paraId="7430E87A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Instituţiei Prefectului, Judeţul Timiş;</w:t>
      </w:r>
    </w:p>
    <w:p w14:paraId="13538F40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Primarului Municipiului Lugoj;</w:t>
      </w:r>
    </w:p>
    <w:p w14:paraId="07AB58B4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Direcţiei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juridice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5376ABAF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management financiar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0AA53E8E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- Compartimentului relaţii cu instituţii de învăţământ, culte, cultură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7A0E29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sănătate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și sport;</w:t>
      </w:r>
    </w:p>
    <w:p w14:paraId="005D893C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- Casei de Cultură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„Traian Grozăvescu” 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Lugoj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1F666664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- Celor interesaţi, prin afişare şi publicare;</w:t>
      </w:r>
    </w:p>
    <w:p w14:paraId="3672C885" w14:textId="77777777" w:rsidR="0000298C" w:rsidRPr="007A0E29" w:rsidRDefault="0000298C" w:rsidP="000029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- Comisiilor de specialitate ale Consiliului Local. </w:t>
      </w:r>
      <w:r w:rsidRPr="007A0E2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</w:p>
    <w:p w14:paraId="6C837566" w14:textId="77777777" w:rsidR="0000298C" w:rsidRDefault="0000298C" w:rsidP="0000298C"/>
    <w:p w14:paraId="24CF3B29" w14:textId="77777777" w:rsidR="00F856D5" w:rsidRDefault="00F856D5"/>
    <w:p w14:paraId="6DEFB1DA" w14:textId="77777777" w:rsidR="0000298C" w:rsidRDefault="0000298C"/>
    <w:p w14:paraId="61965C81" w14:textId="77777777" w:rsidR="0000298C" w:rsidRPr="00396809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6067B107" w14:textId="77777777" w:rsidR="0000298C" w:rsidRPr="00396809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04FF5687" w14:textId="77777777" w:rsidR="0000298C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2A72B9E" w14:textId="77777777" w:rsidR="0000298C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0E30237" w14:textId="77777777" w:rsidR="0000298C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D3268BD" w14:textId="77777777" w:rsidR="0000298C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35DB01" w14:textId="77777777" w:rsidR="0000298C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DD92C20" w14:textId="77777777" w:rsidR="0000298C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FF408D" w14:textId="77777777" w:rsidR="00164654" w:rsidRDefault="00164654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357F2C" w14:textId="77777777" w:rsidR="0000298C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38F1454" w14:textId="77777777" w:rsidR="0000298C" w:rsidRPr="00396809" w:rsidRDefault="0000298C" w:rsidP="00002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2413D8A" w14:textId="0EBDE199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249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</w:p>
    <w:p w14:paraId="5060F7C5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DC4A8B7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A007B4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5BF066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4B24E8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7A709A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769B10C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C041BD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D9C835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E5574B3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BEAB3B6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A9B9C1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1839A23" w14:textId="77777777" w:rsidR="0000298C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BE2BB9C" w14:textId="77777777" w:rsidR="0000298C" w:rsidRPr="00396809" w:rsidRDefault="0000298C" w:rsidP="0000298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00298C" w:rsidRPr="00396809" w14:paraId="6DBEBF95" w14:textId="77777777" w:rsidTr="006B6360">
        <w:tc>
          <w:tcPr>
            <w:tcW w:w="468" w:type="dxa"/>
          </w:tcPr>
          <w:p w14:paraId="54443FD7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5951F1B9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37B31F26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00298C" w:rsidRPr="00396809" w14:paraId="575CB720" w14:textId="77777777" w:rsidTr="006B6360">
        <w:trPr>
          <w:trHeight w:val="188"/>
        </w:trPr>
        <w:tc>
          <w:tcPr>
            <w:tcW w:w="468" w:type="dxa"/>
          </w:tcPr>
          <w:p w14:paraId="49C89B9C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3006797A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036F13F1" w14:textId="441732ED" w:rsidR="0000298C" w:rsidRPr="00396809" w:rsidRDefault="00164654" w:rsidP="006B63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00298C" w:rsidRPr="00396809" w14:paraId="1DE744FD" w14:textId="77777777" w:rsidTr="006B6360">
        <w:tc>
          <w:tcPr>
            <w:tcW w:w="468" w:type="dxa"/>
          </w:tcPr>
          <w:p w14:paraId="1AEA37C5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266A3EAF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54F3894D" w14:textId="21AF1DA7" w:rsidR="00164654" w:rsidRPr="00396809" w:rsidRDefault="00164654" w:rsidP="006B63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</w:tr>
      <w:tr w:rsidR="0000298C" w:rsidRPr="00396809" w14:paraId="49B4A341" w14:textId="77777777" w:rsidTr="006B6360">
        <w:tc>
          <w:tcPr>
            <w:tcW w:w="468" w:type="dxa"/>
          </w:tcPr>
          <w:p w14:paraId="4C4E549B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410AF13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F1953E7" w14:textId="73742421" w:rsidR="0000298C" w:rsidRPr="00396809" w:rsidRDefault="00164654" w:rsidP="006B63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</w:tr>
      <w:tr w:rsidR="0000298C" w:rsidRPr="00396809" w14:paraId="6F9C7338" w14:textId="77777777" w:rsidTr="006B6360">
        <w:tc>
          <w:tcPr>
            <w:tcW w:w="468" w:type="dxa"/>
          </w:tcPr>
          <w:p w14:paraId="31E7C264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3193EA3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1A84B18F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00298C" w:rsidRPr="00396809" w14:paraId="705AFC15" w14:textId="77777777" w:rsidTr="006B6360">
        <w:trPr>
          <w:trHeight w:val="312"/>
        </w:trPr>
        <w:tc>
          <w:tcPr>
            <w:tcW w:w="468" w:type="dxa"/>
          </w:tcPr>
          <w:p w14:paraId="5FFD14FE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0B1B329D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2D715873" w14:textId="77777777" w:rsidR="0000298C" w:rsidRPr="00396809" w:rsidRDefault="0000298C" w:rsidP="006B6360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147EDAA3" w14:textId="77777777" w:rsidR="0000298C" w:rsidRDefault="0000298C"/>
    <w:sectPr w:rsidR="0000298C" w:rsidSect="00164654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8C"/>
    <w:rsid w:val="0000298C"/>
    <w:rsid w:val="0007389A"/>
    <w:rsid w:val="00164654"/>
    <w:rsid w:val="00922A4F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58D5"/>
  <w15:chartTrackingRefBased/>
  <w15:docId w15:val="{5B9140E5-2B32-4D38-A868-5EEADAEA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8C"/>
  </w:style>
  <w:style w:type="paragraph" w:styleId="Heading1">
    <w:name w:val="heading 1"/>
    <w:basedOn w:val="Normal"/>
    <w:next w:val="Normal"/>
    <w:link w:val="Heading1Char"/>
    <w:uiPriority w:val="9"/>
    <w:qFormat/>
    <w:rsid w:val="0000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9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29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2024-12-23T11:09:00Z</dcterms:created>
  <dcterms:modified xsi:type="dcterms:W3CDTF">2024-12-23T13:03:00Z</dcterms:modified>
</cp:coreProperties>
</file>