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BF0B" w14:textId="77777777" w:rsidR="00225982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                           </w:t>
      </w:r>
    </w:p>
    <w:p w14:paraId="3888ECC8" w14:textId="77777777" w:rsidR="00225982" w:rsidRDefault="00225982" w:rsidP="00AD55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</w:pPr>
    </w:p>
    <w:p w14:paraId="57F3BBD9" w14:textId="13818921" w:rsidR="00AD55B5" w:rsidRPr="000B3B7D" w:rsidRDefault="00225982" w:rsidP="00AD55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                          </w:t>
      </w:r>
      <w:r w:rsidR="00AD55B5" w:rsidRPr="000B3B7D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 ROMÂNIA</w:t>
      </w:r>
    </w:p>
    <w:p w14:paraId="3C7A56D0" w14:textId="77777777" w:rsidR="00AD55B5" w:rsidRPr="000B3B7D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                       JUDEŢUL TIMIŞ</w:t>
      </w:r>
    </w:p>
    <w:p w14:paraId="3C614161" w14:textId="77777777" w:rsidR="00AD55B5" w:rsidRPr="000B3B7D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CONSILIUL LOCAL AL MUNICIPIULUI LUGOJ</w:t>
      </w:r>
    </w:p>
    <w:p w14:paraId="7A15FB94" w14:textId="77777777" w:rsidR="00AD55B5" w:rsidRPr="000B3B7D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386158B3" w14:textId="77777777" w:rsidR="00AD55B5" w:rsidRPr="000B3B7D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o-RO" w:eastAsia="ro-RO"/>
          <w14:ligatures w14:val="none"/>
        </w:rPr>
        <w:t>HOTĂRÂREA</w:t>
      </w:r>
    </w:p>
    <w:p w14:paraId="09948F4A" w14:textId="77777777" w:rsidR="00AD55B5" w:rsidRPr="000B3B7D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privind alegerea preşedintelui de şedinţă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pentru luna DECEMBRIE, 2024</w:t>
      </w:r>
    </w:p>
    <w:p w14:paraId="2349CF91" w14:textId="77777777" w:rsidR="00AD55B5" w:rsidRPr="000B3B7D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val="ro-RO" w:eastAsia="ro-RO"/>
          <w14:ligatures w14:val="none"/>
        </w:rPr>
      </w:pPr>
    </w:p>
    <w:p w14:paraId="61ACC4AA" w14:textId="77777777" w:rsidR="00AD55B5" w:rsidRPr="00F01823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/>
          <w:kern w:val="0"/>
          <w:sz w:val="28"/>
          <w:szCs w:val="20"/>
          <w:lang w:val="ro-RO" w:eastAsia="ro-RO"/>
          <w14:ligatures w14:val="none"/>
        </w:rPr>
        <w:tab/>
      </w:r>
      <w:r w:rsidRPr="000B3B7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Lugoj;</w:t>
      </w:r>
    </w:p>
    <w:p w14:paraId="3C01A98A" w14:textId="68633DAA" w:rsidR="00AD55B5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Tinând cont de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Referatul nr. </w:t>
      </w:r>
      <w:r w:rsidRPr="00633C6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16/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113254/(RU)113255</w:t>
      </w:r>
      <w:r w:rsidRPr="00633C6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14.11</w:t>
      </w:r>
      <w:r w:rsidRPr="00633C6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.2024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întocmit de către Serviciul administrație locală și avizat de către</w:t>
      </w:r>
      <w:r w:rsidRPr="00F01823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Primarul Municipiului Lugoj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  <w:t>;</w:t>
      </w:r>
    </w:p>
    <w:p w14:paraId="27031D94" w14:textId="1DC94B31" w:rsidR="00694402" w:rsidRPr="00E7579A" w:rsidRDefault="00694402" w:rsidP="006944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7579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16/113850/(RU)113851 din 15.11.2024 al Primarului Municipiului Lugoj – iniţiator al  proiectului de hotărâre;</w:t>
      </w:r>
    </w:p>
    <w:p w14:paraId="3D928AC3" w14:textId="4F567B33" w:rsidR="00694402" w:rsidRPr="00E7579A" w:rsidRDefault="00694402" w:rsidP="006944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E7579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Proiectul de hotărâre nr. 196 din 14.11.2024 privind alegerea preşedintelui de şedinţă pentru luna DECEMBRIE, 2024;</w:t>
      </w:r>
    </w:p>
    <w:p w14:paraId="39E22612" w14:textId="6D10FFFD" w:rsidR="00694402" w:rsidRPr="00E7579A" w:rsidRDefault="00694402" w:rsidP="00694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  <w:tab/>
      </w:r>
      <w:r w:rsidRPr="00E7579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Luând în considerare raportul de specialitate nr. 16/114180/(RU)114181 din 18.11.2024 întocmit de Serviciul administrație locală;</w:t>
      </w:r>
    </w:p>
    <w:p w14:paraId="3A81E2FC" w14:textId="621D1328" w:rsidR="00F051D1" w:rsidRPr="00E7579A" w:rsidRDefault="00694402" w:rsidP="00694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E7579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</w:t>
      </w:r>
      <w:r w:rsidR="00E7579A" w:rsidRPr="00E7579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117</w:t>
      </w:r>
      <w:r w:rsidRPr="00E7579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="00470F20" w:rsidRPr="00E7579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27</w:t>
      </w:r>
      <w:r w:rsidRPr="00E7579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 al Comisiei juridice, de disciplină, muncă, învățământ, sănătate, familie, protecție socială, protecția copiilor, apărarea ordinii și liniștii publice, respectarea drepturilor omului și libertăților cetățenești, culte și a celorlalte Comisii de specialitate  ale Consiliului Local al Municipiului Lugoj;</w:t>
      </w:r>
    </w:p>
    <w:p w14:paraId="26D1EFAC" w14:textId="77777777" w:rsidR="00AD55B5" w:rsidRPr="000B3B7D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Calibri" w:hAnsi="Times New Roman" w:cs="Times New Roman"/>
          <w:kern w:val="16"/>
          <w:sz w:val="24"/>
          <w:szCs w:val="24"/>
          <w:lang w:val="ro-RO" w:eastAsia="ro-RO"/>
          <w14:ligatures w14:val="none"/>
        </w:rPr>
        <w:t>Având în vedere</w:t>
      </w:r>
      <w:r>
        <w:rPr>
          <w:rFonts w:ascii="Times New Roman" w:eastAsia="Calibri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art. 7 și art. 8 din </w:t>
      </w:r>
      <w:r w:rsidRPr="000B3B7D">
        <w:rPr>
          <w:rFonts w:ascii="Times New Roman" w:eastAsia="Calibri" w:hAnsi="Times New Roman" w:cs="Times New Roman"/>
          <w:kern w:val="16"/>
          <w:sz w:val="24"/>
          <w:szCs w:val="24"/>
          <w:lang w:val="ro-RO" w:eastAsia="ro-RO"/>
          <w14:ligatures w14:val="none"/>
        </w:rPr>
        <w:t>Regulamentul de organizare și funcționare a Consiliului local al municipiului Lugoj, aprobat prin H.C.L. nr. 285 din 29.07.2022;</w:t>
      </w:r>
    </w:p>
    <w:p w14:paraId="5EE45979" w14:textId="321004FD" w:rsidR="00AD55B5" w:rsidRPr="000B3B7D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În conformitate cu art. 123 alin. (1)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, 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art. 136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, 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art. 139 alin. (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și art.</w:t>
      </w:r>
      <w:r w:rsidR="00694402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199 alin. (2) 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din Ordonanța de Urgență nr. 57/2019 privind Codul administrativ, cu modificările și completările ulterioare;</w:t>
      </w:r>
    </w:p>
    <w:p w14:paraId="79495570" w14:textId="77777777" w:rsidR="00AD55B5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În temeiul art. 196 alin. (1) lit. a)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și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art. 243 alin. (1) lit. a) din Ordonanța de Urgență  nr. 57/2019 privind Codul administrativ, cu modificările și completările ulterioare,</w:t>
      </w:r>
    </w:p>
    <w:p w14:paraId="2A4D3E45" w14:textId="77777777" w:rsidR="00AD55B5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705A9C27" w14:textId="77777777" w:rsidR="00AD55B5" w:rsidRPr="00A96067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96067">
        <w:rPr>
          <w:rFonts w:ascii="Times New Roman" w:hAnsi="Times New Roman" w:cs="Times New Roman"/>
          <w:b/>
          <w:sz w:val="24"/>
          <w:szCs w:val="24"/>
        </w:rPr>
        <w:t xml:space="preserve">H O T Ă R Ă Ş T </w:t>
      </w:r>
      <w:proofErr w:type="gramStart"/>
      <w:r w:rsidRPr="00A96067">
        <w:rPr>
          <w:rFonts w:ascii="Times New Roman" w:hAnsi="Times New Roman" w:cs="Times New Roman"/>
          <w:b/>
          <w:sz w:val="24"/>
          <w:szCs w:val="24"/>
        </w:rPr>
        <w:t>E :</w:t>
      </w:r>
      <w:proofErr w:type="gramEnd"/>
    </w:p>
    <w:p w14:paraId="5F25821F" w14:textId="77777777" w:rsidR="00AD55B5" w:rsidRPr="000B3B7D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val="ro-RO" w:eastAsia="ro-RO"/>
          <w14:ligatures w14:val="none"/>
        </w:rPr>
      </w:pPr>
    </w:p>
    <w:p w14:paraId="3CFDC624" w14:textId="77777777" w:rsidR="00AD55B5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</w:r>
      <w:r w:rsidRPr="000B3B7D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Art.1.</w:t>
      </w:r>
      <w:r w:rsidRPr="000B3B7D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  –</w:t>
      </w:r>
      <w:r w:rsidRPr="009B5C78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D</w:t>
      </w:r>
      <w:r w:rsidRPr="000B3B7D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omnul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consilier local BABONIU MARIUS-CORNEL</w:t>
      </w:r>
      <w:r w:rsidRPr="000B3B7D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se alege președinte de ședință pentru 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luna DECEMBRIE, 2024</w:t>
      </w:r>
      <w:r w:rsidRPr="000B3B7D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.</w:t>
      </w:r>
    </w:p>
    <w:p w14:paraId="6EA7159D" w14:textId="77777777" w:rsidR="00AD55B5" w:rsidRPr="000B3B7D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b/>
          <w:kern w:val="0"/>
          <w:sz w:val="28"/>
          <w:szCs w:val="20"/>
          <w:lang w:val="ro-RO" w:eastAsia="ro-RO"/>
          <w14:ligatures w14:val="none"/>
        </w:rPr>
        <w:tab/>
      </w:r>
      <w:r w:rsidRPr="000B3B7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:lang w:val="ro-RO" w:eastAsia="ro-RO"/>
          <w14:ligatures w14:val="none"/>
        </w:rPr>
        <w:t>Art.2.</w:t>
      </w:r>
      <w:r w:rsidRPr="000B3B7D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– Prezenta hotărâre se comunică:</w:t>
      </w:r>
    </w:p>
    <w:p w14:paraId="1AF50D44" w14:textId="77777777" w:rsidR="00AD55B5" w:rsidRPr="000B3B7D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- Instituţiei Prefectului, Judeţul Timiş;</w:t>
      </w:r>
    </w:p>
    <w:p w14:paraId="460AAC77" w14:textId="77777777" w:rsidR="00AD55B5" w:rsidRPr="000B3B7D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- Primarului Municipiului Lugoj;</w:t>
      </w:r>
    </w:p>
    <w:p w14:paraId="22872501" w14:textId="77777777" w:rsidR="00AD55B5" w:rsidRPr="000B3B7D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- Direcţiei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juridice</w:t>
      </w: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35A34DB0" w14:textId="77777777" w:rsidR="00AD55B5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- Celui în cauză;</w:t>
      </w:r>
    </w:p>
    <w:p w14:paraId="54E826DD" w14:textId="77777777" w:rsidR="00AD55B5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B3B7D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- Celor interesaţi, prin afişare şi publicare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6927C287" w14:textId="77777777" w:rsidR="00AD55B5" w:rsidRPr="007323A0" w:rsidRDefault="00AD55B5" w:rsidP="00AD55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3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23A0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7323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23A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7323A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323A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323A0">
        <w:rPr>
          <w:rFonts w:ascii="Times New Roman" w:hAnsi="Times New Roman" w:cs="Times New Roman"/>
          <w:sz w:val="24"/>
          <w:szCs w:val="24"/>
        </w:rPr>
        <w:t xml:space="preserve"> Local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5E9181" w14:textId="77777777" w:rsidR="00AD55B5" w:rsidRDefault="00AD55B5" w:rsidP="00AD55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1B0E4C88" w14:textId="77777777" w:rsidR="00694402" w:rsidRPr="00396809" w:rsidRDefault="00694402" w:rsidP="00694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CONTRASEMNEAZĂ </w:t>
      </w:r>
    </w:p>
    <w:p w14:paraId="0E9AC44B" w14:textId="77777777" w:rsidR="00694402" w:rsidRPr="00396809" w:rsidRDefault="00694402" w:rsidP="00694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Mihai Agache                                 SECRETARUL GENERAL AL MUNICIPIULUI</w:t>
      </w:r>
    </w:p>
    <w:p w14:paraId="62691E47" w14:textId="77777777" w:rsidR="00694402" w:rsidRPr="00396809" w:rsidRDefault="00694402" w:rsidP="00694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75BB69FF" w14:textId="77777777" w:rsidR="00694402" w:rsidRPr="00396809" w:rsidRDefault="00694402" w:rsidP="00694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A54C036" w14:textId="77777777" w:rsidR="00694402" w:rsidRPr="00396809" w:rsidRDefault="00694402" w:rsidP="006944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8AB619B" w14:textId="2B13CF9A" w:rsidR="00694402" w:rsidRDefault="00694402" w:rsidP="0069440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18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8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28.11.2024</w:t>
      </w:r>
    </w:p>
    <w:p w14:paraId="4EEC2462" w14:textId="77777777" w:rsidR="00694402" w:rsidRPr="00396809" w:rsidRDefault="00694402" w:rsidP="0069440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43C901B" w14:textId="77777777" w:rsidR="00694402" w:rsidRPr="00396809" w:rsidRDefault="00694402" w:rsidP="0069440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694402" w:rsidRPr="00396809" w14:paraId="2077BD86" w14:textId="77777777" w:rsidTr="006B1A63">
        <w:tc>
          <w:tcPr>
            <w:tcW w:w="468" w:type="dxa"/>
          </w:tcPr>
          <w:p w14:paraId="327137BF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3C746F5B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59E0CF26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694402" w:rsidRPr="00396809" w14:paraId="0B7EB7E0" w14:textId="77777777" w:rsidTr="006B1A63">
        <w:trPr>
          <w:trHeight w:val="188"/>
        </w:trPr>
        <w:tc>
          <w:tcPr>
            <w:tcW w:w="468" w:type="dxa"/>
          </w:tcPr>
          <w:p w14:paraId="2CAE738E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3B93D911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31FB29C8" w14:textId="4DB53EDF" w:rsidR="00694402" w:rsidRPr="00396809" w:rsidRDefault="00616C9D" w:rsidP="006B1A6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694402" w:rsidRPr="00396809" w14:paraId="37206B4D" w14:textId="77777777" w:rsidTr="006B1A63">
        <w:tc>
          <w:tcPr>
            <w:tcW w:w="468" w:type="dxa"/>
          </w:tcPr>
          <w:p w14:paraId="1760B42A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73EC740A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512C9A18" w14:textId="6E896EF5" w:rsidR="00694402" w:rsidRPr="00396809" w:rsidRDefault="00616C9D" w:rsidP="006B1A6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694402" w:rsidRPr="00396809" w14:paraId="402A8786" w14:textId="77777777" w:rsidTr="006B1A63">
        <w:tc>
          <w:tcPr>
            <w:tcW w:w="468" w:type="dxa"/>
          </w:tcPr>
          <w:p w14:paraId="71C147FB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1EF34E50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77101CB7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694402" w:rsidRPr="00396809" w14:paraId="14A1577A" w14:textId="77777777" w:rsidTr="006B1A63">
        <w:tc>
          <w:tcPr>
            <w:tcW w:w="468" w:type="dxa"/>
          </w:tcPr>
          <w:p w14:paraId="3A9E0103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5A99A80E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53D1045D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694402" w:rsidRPr="00396809" w14:paraId="4A853CA0" w14:textId="77777777" w:rsidTr="006B1A63">
        <w:trPr>
          <w:trHeight w:val="312"/>
        </w:trPr>
        <w:tc>
          <w:tcPr>
            <w:tcW w:w="468" w:type="dxa"/>
          </w:tcPr>
          <w:p w14:paraId="0CA5A82F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4A31C3C7" w14:textId="77777777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723085AD" w14:textId="7098CFB5" w:rsidR="00694402" w:rsidRPr="00396809" w:rsidRDefault="00694402" w:rsidP="006B1A6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majoritate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simplă</w:t>
            </w:r>
            <w:proofErr w:type="spellEnd"/>
          </w:p>
        </w:tc>
      </w:tr>
    </w:tbl>
    <w:p w14:paraId="78524106" w14:textId="77777777" w:rsidR="00694402" w:rsidRDefault="00694402"/>
    <w:sectPr w:rsidR="00694402" w:rsidSect="00694402">
      <w:pgSz w:w="11906" w:h="16838"/>
      <w:pgMar w:top="432" w:right="1296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B5"/>
    <w:rsid w:val="00225982"/>
    <w:rsid w:val="00421DB1"/>
    <w:rsid w:val="00433097"/>
    <w:rsid w:val="0043407E"/>
    <w:rsid w:val="00470F20"/>
    <w:rsid w:val="00616C9D"/>
    <w:rsid w:val="00694402"/>
    <w:rsid w:val="00AD55B5"/>
    <w:rsid w:val="00E7579A"/>
    <w:rsid w:val="00F051D1"/>
    <w:rsid w:val="00F8524C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E5CC"/>
  <w15:chartTrackingRefBased/>
  <w15:docId w15:val="{E1BE759D-18A0-4DAE-B84A-30CF53EA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5B5"/>
  </w:style>
  <w:style w:type="paragraph" w:styleId="Heading1">
    <w:name w:val="heading 1"/>
    <w:basedOn w:val="Normal"/>
    <w:next w:val="Normal"/>
    <w:link w:val="Heading1Char"/>
    <w:uiPriority w:val="9"/>
    <w:qFormat/>
    <w:rsid w:val="00AD5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5B5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6944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9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5</cp:revision>
  <dcterms:created xsi:type="dcterms:W3CDTF">2024-11-26T09:49:00Z</dcterms:created>
  <dcterms:modified xsi:type="dcterms:W3CDTF">2024-11-28T13:30:00Z</dcterms:modified>
</cp:coreProperties>
</file>